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C480" w14:textId="27618EA1" w:rsidR="00556B9F" w:rsidRPr="009C2276" w:rsidRDefault="00556B9F" w:rsidP="00556B9F">
      <w:pPr>
        <w:jc w:val="center"/>
        <w:rPr>
          <w:rFonts w:ascii="Arial" w:hAnsi="Arial" w:cs="Arial"/>
          <w:b/>
          <w:bCs/>
        </w:rPr>
      </w:pPr>
      <w:r w:rsidRPr="009C2276">
        <w:rPr>
          <w:rFonts w:ascii="Arial" w:hAnsi="Arial" w:cs="Arial"/>
          <w:b/>
          <w:bCs/>
        </w:rPr>
        <w:t>Riesgos de Corrupción Vigencia 202</w:t>
      </w:r>
      <w:r w:rsidR="00BE73FB">
        <w:rPr>
          <w:rFonts w:ascii="Arial" w:hAnsi="Arial" w:cs="Arial"/>
          <w:b/>
          <w:bCs/>
        </w:rPr>
        <w:t>5</w:t>
      </w:r>
      <w:r w:rsidRPr="009C2276">
        <w:rPr>
          <w:rFonts w:ascii="Arial" w:hAnsi="Arial" w:cs="Arial"/>
          <w:b/>
          <w:bCs/>
        </w:rPr>
        <w:t xml:space="preserve">- </w:t>
      </w:r>
      <w:r w:rsidRPr="00556B9F">
        <w:rPr>
          <w:rFonts w:ascii="Arial" w:hAnsi="Arial" w:cs="Arial"/>
          <w:b/>
          <w:bCs/>
        </w:rPr>
        <w:t>Gestión de Tecnologías de la Información y Comunicaciones</w:t>
      </w:r>
    </w:p>
    <w:p w14:paraId="627B3FEF" w14:textId="77777777" w:rsidR="00556B9F" w:rsidRPr="009C2276" w:rsidRDefault="00556B9F" w:rsidP="00556B9F">
      <w:pPr>
        <w:rPr>
          <w:rFonts w:ascii="Arial" w:hAnsi="Arial" w:cs="Arial"/>
        </w:rPr>
      </w:pPr>
    </w:p>
    <w:p w14:paraId="269D042F" w14:textId="2833C88D" w:rsidR="00556B9F" w:rsidRPr="00556B9F" w:rsidRDefault="00556B9F" w:rsidP="00556B9F">
      <w:pPr>
        <w:jc w:val="both"/>
        <w:rPr>
          <w:rFonts w:ascii="Arial" w:hAnsi="Arial" w:cs="Arial"/>
        </w:rPr>
      </w:pPr>
      <w:r w:rsidRPr="007F557C">
        <w:rPr>
          <w:rFonts w:ascii="Arial" w:hAnsi="Arial" w:cs="Arial"/>
        </w:rPr>
        <w:t xml:space="preserve">El líder </w:t>
      </w:r>
      <w:r w:rsidRPr="00556B9F">
        <w:rPr>
          <w:rFonts w:ascii="Arial" w:hAnsi="Arial" w:cs="Arial"/>
        </w:rPr>
        <w:t xml:space="preserve">del proceso </w:t>
      </w:r>
      <w:r w:rsidR="00BE73FB">
        <w:rPr>
          <w:rFonts w:ascii="Arial" w:hAnsi="Arial" w:cs="Arial"/>
        </w:rPr>
        <w:t xml:space="preserve">en la vigencia 2024, </w:t>
      </w:r>
      <w:r w:rsidRPr="00556B9F">
        <w:rPr>
          <w:rFonts w:ascii="Arial" w:hAnsi="Arial" w:cs="Arial"/>
        </w:rPr>
        <w:t xml:space="preserve">solicitó a la Subgerencia de Planeación a través del Formato Control de Cambios en la Gestión de Riesgos, la eliminación del riesgo que había sido identificado en la vigencia 2023, a partir de la siguiente justificación: </w:t>
      </w:r>
    </w:p>
    <w:p w14:paraId="02D36940" w14:textId="1B689636" w:rsidR="00556B9F" w:rsidRDefault="00556B9F" w:rsidP="00556B9F">
      <w:pPr>
        <w:pStyle w:val="Prrafodelista"/>
        <w:numPr>
          <w:ilvl w:val="0"/>
          <w:numId w:val="1"/>
        </w:numPr>
        <w:jc w:val="both"/>
        <w:rPr>
          <w:rFonts w:ascii="Arial" w:hAnsi="Arial" w:cs="Arial"/>
        </w:rPr>
      </w:pPr>
      <w:r w:rsidRPr="00556B9F">
        <w:rPr>
          <w:rFonts w:ascii="Arial" w:hAnsi="Arial" w:cs="Arial"/>
          <w:b/>
          <w:bCs/>
          <w:u w:val="single"/>
        </w:rPr>
        <w:t>Riesgo GTI-RC-01:</w:t>
      </w:r>
      <w:r w:rsidRPr="00556B9F">
        <w:rPr>
          <w:rFonts w:ascii="Arial" w:hAnsi="Arial" w:cs="Arial"/>
          <w:b/>
          <w:bCs/>
        </w:rPr>
        <w:t xml:space="preserve"> </w:t>
      </w:r>
      <w:r w:rsidRPr="00556B9F">
        <w:rPr>
          <w:rFonts w:ascii="Arial" w:hAnsi="Arial" w:cs="Arial"/>
        </w:rPr>
        <w:t>Posibilidad de que, por acción u omisión, se use el poder para incumplir los requisitos establecidos en la normatividad vigente en procesos de contratación en la etapa precontractual, desviando así la gestión de lo público hacia un beneficio propio o de terceros.</w:t>
      </w:r>
    </w:p>
    <w:p w14:paraId="299D879F" w14:textId="77777777" w:rsidR="00556B9F" w:rsidRPr="00556B9F" w:rsidRDefault="00556B9F" w:rsidP="00556B9F">
      <w:pPr>
        <w:pStyle w:val="Prrafodelista"/>
        <w:jc w:val="both"/>
        <w:rPr>
          <w:rFonts w:ascii="Arial" w:hAnsi="Arial" w:cs="Arial"/>
        </w:rPr>
      </w:pPr>
    </w:p>
    <w:p w14:paraId="22CE4465" w14:textId="07D4B436" w:rsidR="00B90067" w:rsidRDefault="00556B9F" w:rsidP="00BE73FB">
      <w:pPr>
        <w:jc w:val="both"/>
        <w:rPr>
          <w:rFonts w:ascii="Arial" w:hAnsi="Arial" w:cs="Arial"/>
        </w:rPr>
      </w:pPr>
      <w:r w:rsidRPr="00556B9F">
        <w:rPr>
          <w:rFonts w:ascii="Arial" w:hAnsi="Arial" w:cs="Arial"/>
          <w:b/>
          <w:bCs/>
          <w:u w:val="single"/>
        </w:rPr>
        <w:t>Justificación:</w:t>
      </w:r>
      <w:r w:rsidRPr="00556B9F">
        <w:rPr>
          <w:rFonts w:ascii="Arial" w:hAnsi="Arial" w:cs="Arial"/>
        </w:rPr>
        <w:t xml:space="preserve"> El riesgo actual se identifica como un conjunto de componentes vinculados a los procedimientos y directrices establecidos por la contratación institucional, los cuales son implementados en todas las fases del proceso de contratación. En virtud de esto, se plantea la necesidad de abordar estos aspectos de manera estratégica desde el área encargada de la contratación. Esto se lograría mediante la realización de socializaciones que permitan difundir y explicar los procedimientos establecidos para la contratación, garantizando así una comprensión adecuada y la aplicación consistente de los lineamientos en todas las instancias pertinentes.</w:t>
      </w:r>
    </w:p>
    <w:p w14:paraId="34F267F0" w14:textId="3BECC9F9" w:rsidR="00BE73FB" w:rsidRPr="00BE73FB" w:rsidRDefault="00BE73FB" w:rsidP="00BE73FB">
      <w:pPr>
        <w:jc w:val="both"/>
        <w:rPr>
          <w:rFonts w:ascii="Arial" w:hAnsi="Arial" w:cs="Arial"/>
        </w:rPr>
      </w:pPr>
      <w:r>
        <w:rPr>
          <w:rFonts w:ascii="Arial" w:hAnsi="Arial" w:cs="Arial"/>
        </w:rPr>
        <w:t>El proceso confirma que para la vigencia 2025 no ha identificado riesgos de corrupción.</w:t>
      </w:r>
    </w:p>
    <w:sectPr w:rsidR="00BE73FB" w:rsidRPr="00BE73FB" w:rsidSect="001C075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6D867" w14:textId="77777777" w:rsidR="00B73484" w:rsidRDefault="00B73484" w:rsidP="00556B9F">
      <w:pPr>
        <w:spacing w:after="0" w:line="240" w:lineRule="auto"/>
      </w:pPr>
      <w:r>
        <w:separator/>
      </w:r>
    </w:p>
  </w:endnote>
  <w:endnote w:type="continuationSeparator" w:id="0">
    <w:p w14:paraId="785AD8CC" w14:textId="77777777" w:rsidR="00B73484" w:rsidRDefault="00B73484" w:rsidP="0055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8B73" w14:textId="77777777" w:rsidR="00556B9F" w:rsidRDefault="00556B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9A08" w14:textId="77777777" w:rsidR="00556B9F" w:rsidRDefault="00556B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00B" w14:textId="77777777" w:rsidR="00556B9F" w:rsidRDefault="00556B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A812" w14:textId="77777777" w:rsidR="00B73484" w:rsidRDefault="00B73484" w:rsidP="00556B9F">
      <w:pPr>
        <w:spacing w:after="0" w:line="240" w:lineRule="auto"/>
      </w:pPr>
      <w:r>
        <w:separator/>
      </w:r>
    </w:p>
  </w:footnote>
  <w:footnote w:type="continuationSeparator" w:id="0">
    <w:p w14:paraId="1D4ACA26" w14:textId="77777777" w:rsidR="00B73484" w:rsidRDefault="00B73484" w:rsidP="0055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D2B1" w14:textId="404CE137" w:rsidR="00556B9F" w:rsidRDefault="00000000">
    <w:pPr>
      <w:pStyle w:val="Encabezado"/>
    </w:pPr>
    <w:r>
      <w:rPr>
        <w:noProof/>
      </w:rPr>
      <w:pict w14:anchorId="147DF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749641" o:spid="_x0000_s1026" type="#_x0000_t136" style="position:absolute;margin-left:0;margin-top:0;width:484.55pt;height:138.45pt;rotation:315;z-index:-251655168;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A4C7" w14:textId="491DC24C" w:rsidR="00556B9F" w:rsidRDefault="00000000">
    <w:pPr>
      <w:pStyle w:val="Encabezado"/>
    </w:pPr>
    <w:r>
      <w:rPr>
        <w:noProof/>
      </w:rPr>
      <w:pict w14:anchorId="3E39C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749642" o:spid="_x0000_s1027" type="#_x0000_t136" style="position:absolute;margin-left:0;margin-top:0;width:484.55pt;height:138.45pt;rotation:315;z-index:-251653120;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6C83" w14:textId="3C7C02EB" w:rsidR="00556B9F" w:rsidRDefault="00000000">
    <w:pPr>
      <w:pStyle w:val="Encabezado"/>
    </w:pPr>
    <w:r>
      <w:rPr>
        <w:noProof/>
      </w:rPr>
      <w:pict w14:anchorId="1379A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749640" o:spid="_x0000_s1025" type="#_x0000_t136" style="position:absolute;margin-left:0;margin-top:0;width:484.55pt;height:138.45pt;rotation:315;z-index:-251657216;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E29DC"/>
    <w:multiLevelType w:val="hybridMultilevel"/>
    <w:tmpl w:val="334AE8E8"/>
    <w:lvl w:ilvl="0" w:tplc="039CCA9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6674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9F"/>
    <w:rsid w:val="00043E4B"/>
    <w:rsid w:val="001C0758"/>
    <w:rsid w:val="001E7AD8"/>
    <w:rsid w:val="00556B9F"/>
    <w:rsid w:val="008D2F18"/>
    <w:rsid w:val="00B73484"/>
    <w:rsid w:val="00B90067"/>
    <w:rsid w:val="00BE73FB"/>
    <w:rsid w:val="00C402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16BAF"/>
  <w15:chartTrackingRefBased/>
  <w15:docId w15:val="{E0352414-EFE8-49F3-8968-A2AEECA2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9F"/>
  </w:style>
  <w:style w:type="paragraph" w:styleId="Ttulo1">
    <w:name w:val="heading 1"/>
    <w:basedOn w:val="Normal"/>
    <w:next w:val="Normal"/>
    <w:link w:val="Ttulo1Car"/>
    <w:uiPriority w:val="9"/>
    <w:qFormat/>
    <w:rsid w:val="00556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6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6B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6B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56B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56B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6B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6B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6B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6B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6B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6B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6B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56B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56B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6B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6B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6B9F"/>
    <w:rPr>
      <w:rFonts w:eastAsiaTheme="majorEastAsia" w:cstheme="majorBidi"/>
      <w:color w:val="272727" w:themeColor="text1" w:themeTint="D8"/>
    </w:rPr>
  </w:style>
  <w:style w:type="paragraph" w:styleId="Ttulo">
    <w:name w:val="Title"/>
    <w:basedOn w:val="Normal"/>
    <w:next w:val="Normal"/>
    <w:link w:val="TtuloCar"/>
    <w:uiPriority w:val="10"/>
    <w:qFormat/>
    <w:rsid w:val="00556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6B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6B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6B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6B9F"/>
    <w:pPr>
      <w:spacing w:before="160"/>
      <w:jc w:val="center"/>
    </w:pPr>
    <w:rPr>
      <w:i/>
      <w:iCs/>
      <w:color w:val="404040" w:themeColor="text1" w:themeTint="BF"/>
    </w:rPr>
  </w:style>
  <w:style w:type="character" w:customStyle="1" w:styleId="CitaCar">
    <w:name w:val="Cita Car"/>
    <w:basedOn w:val="Fuentedeprrafopredeter"/>
    <w:link w:val="Cita"/>
    <w:uiPriority w:val="29"/>
    <w:rsid w:val="00556B9F"/>
    <w:rPr>
      <w:i/>
      <w:iCs/>
      <w:color w:val="404040" w:themeColor="text1" w:themeTint="BF"/>
    </w:rPr>
  </w:style>
  <w:style w:type="paragraph" w:styleId="Prrafodelista">
    <w:name w:val="List Paragraph"/>
    <w:basedOn w:val="Normal"/>
    <w:uiPriority w:val="34"/>
    <w:qFormat/>
    <w:rsid w:val="00556B9F"/>
    <w:pPr>
      <w:ind w:left="720"/>
      <w:contextualSpacing/>
    </w:pPr>
  </w:style>
  <w:style w:type="character" w:styleId="nfasisintenso">
    <w:name w:val="Intense Emphasis"/>
    <w:basedOn w:val="Fuentedeprrafopredeter"/>
    <w:uiPriority w:val="21"/>
    <w:qFormat/>
    <w:rsid w:val="00556B9F"/>
    <w:rPr>
      <w:i/>
      <w:iCs/>
      <w:color w:val="0F4761" w:themeColor="accent1" w:themeShade="BF"/>
    </w:rPr>
  </w:style>
  <w:style w:type="paragraph" w:styleId="Citadestacada">
    <w:name w:val="Intense Quote"/>
    <w:basedOn w:val="Normal"/>
    <w:next w:val="Normal"/>
    <w:link w:val="CitadestacadaCar"/>
    <w:uiPriority w:val="30"/>
    <w:qFormat/>
    <w:rsid w:val="00556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6B9F"/>
    <w:rPr>
      <w:i/>
      <w:iCs/>
      <w:color w:val="0F4761" w:themeColor="accent1" w:themeShade="BF"/>
    </w:rPr>
  </w:style>
  <w:style w:type="character" w:styleId="Referenciaintensa">
    <w:name w:val="Intense Reference"/>
    <w:basedOn w:val="Fuentedeprrafopredeter"/>
    <w:uiPriority w:val="32"/>
    <w:qFormat/>
    <w:rsid w:val="00556B9F"/>
    <w:rPr>
      <w:b/>
      <w:bCs/>
      <w:smallCaps/>
      <w:color w:val="0F4761" w:themeColor="accent1" w:themeShade="BF"/>
      <w:spacing w:val="5"/>
    </w:rPr>
  </w:style>
  <w:style w:type="character" w:customStyle="1" w:styleId="normaltextrun">
    <w:name w:val="normaltextrun"/>
    <w:basedOn w:val="Fuentedeprrafopredeter"/>
    <w:rsid w:val="00556B9F"/>
  </w:style>
  <w:style w:type="character" w:customStyle="1" w:styleId="eop">
    <w:name w:val="eop"/>
    <w:basedOn w:val="Fuentedeprrafopredeter"/>
    <w:rsid w:val="00556B9F"/>
  </w:style>
  <w:style w:type="paragraph" w:styleId="Encabezado">
    <w:name w:val="header"/>
    <w:basedOn w:val="Normal"/>
    <w:link w:val="EncabezadoCar"/>
    <w:uiPriority w:val="99"/>
    <w:unhideWhenUsed/>
    <w:rsid w:val="00556B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B9F"/>
  </w:style>
  <w:style w:type="paragraph" w:styleId="Piedepgina">
    <w:name w:val="footer"/>
    <w:basedOn w:val="Normal"/>
    <w:link w:val="PiedepginaCar"/>
    <w:uiPriority w:val="99"/>
    <w:unhideWhenUsed/>
    <w:rsid w:val="00556B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1176</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María Vargas Barón</dc:creator>
  <cp:keywords/>
  <dc:description/>
  <cp:lastModifiedBy>Ana María García Cañadulce</cp:lastModifiedBy>
  <cp:revision>3</cp:revision>
  <dcterms:created xsi:type="dcterms:W3CDTF">2025-02-13T07:16:00Z</dcterms:created>
  <dcterms:modified xsi:type="dcterms:W3CDTF">2025-02-13T07:18:00Z</dcterms:modified>
</cp:coreProperties>
</file>