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D7A8F" w14:textId="3AC4C625" w:rsidR="0041281F" w:rsidRPr="00F85FB4" w:rsidRDefault="0041281F" w:rsidP="008F2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Arial" w:hAnsi="Arial" w:cs="Arial"/>
          <w:color w:val="4C94D8" w:themeColor="text2" w:themeTint="80"/>
        </w:rPr>
      </w:pPr>
      <w:r w:rsidRPr="00F85FB4">
        <w:rPr>
          <w:rFonts w:ascii="Arial" w:hAnsi="Arial" w:cs="Arial"/>
          <w:color w:val="4C94D8" w:themeColor="text2" w:themeTint="80"/>
        </w:rPr>
        <w:t>Fecha de Elaboración:</w:t>
      </w:r>
    </w:p>
    <w:p w14:paraId="3EB58669" w14:textId="77777777" w:rsidR="008F084F" w:rsidRDefault="008F084F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6ABCE806" w14:textId="77777777" w:rsidR="008F084F" w:rsidRDefault="008F084F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224376E0" w14:textId="77777777" w:rsidR="0041281F" w:rsidRPr="008F084F" w:rsidRDefault="0041281F" w:rsidP="0041281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8F084F">
        <w:rPr>
          <w:rFonts w:ascii="Arial" w:hAnsi="Arial" w:cs="Arial"/>
          <w:b/>
          <w:bCs/>
        </w:rPr>
        <w:t>1.</w:t>
      </w:r>
      <w:r w:rsidRPr="008F084F">
        <w:rPr>
          <w:rFonts w:ascii="Arial" w:hAnsi="Arial" w:cs="Arial"/>
          <w:b/>
          <w:bCs/>
        </w:rPr>
        <w:tab/>
        <w:t xml:space="preserve">DESCRIPCIÓN DE LA NECESIDAD DE LA CONTRATACIÓN </w:t>
      </w:r>
    </w:p>
    <w:p w14:paraId="11342853" w14:textId="77777777" w:rsidR="0041281F" w:rsidRPr="0041281F" w:rsidRDefault="0041281F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18FBAD6E" w14:textId="77777777" w:rsidR="0041281F" w:rsidRPr="008F084F" w:rsidRDefault="0041281F" w:rsidP="0041281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8F084F">
        <w:rPr>
          <w:rFonts w:ascii="Arial" w:hAnsi="Arial" w:cs="Arial"/>
          <w:b/>
          <w:bCs/>
        </w:rPr>
        <w:t>1.1.</w:t>
      </w:r>
      <w:r w:rsidRPr="008F084F">
        <w:rPr>
          <w:rFonts w:ascii="Arial" w:hAnsi="Arial" w:cs="Arial"/>
          <w:b/>
          <w:bCs/>
        </w:rPr>
        <w:tab/>
        <w:t>JUSTIFICACIÓN</w:t>
      </w:r>
    </w:p>
    <w:p w14:paraId="0A390E0F" w14:textId="77777777" w:rsidR="0041281F" w:rsidRPr="0041281F" w:rsidRDefault="0041281F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5B8847EA" w14:textId="714007F3" w:rsidR="00130B86" w:rsidRPr="00130B86" w:rsidRDefault="00130B86" w:rsidP="00130B86">
      <w:pPr>
        <w:spacing w:line="240" w:lineRule="auto"/>
        <w:contextualSpacing/>
        <w:jc w:val="both"/>
        <w:rPr>
          <w:rFonts w:ascii="Arial" w:hAnsi="Arial" w:cs="Arial"/>
        </w:rPr>
      </w:pPr>
      <w:r w:rsidRPr="00130B86">
        <w:rPr>
          <w:rFonts w:ascii="Arial" w:hAnsi="Arial" w:cs="Arial"/>
        </w:rPr>
        <w:t>Teniendo en cuenta que la educación es un derecho fundamental conforme al mandato constitucio</w:t>
      </w:r>
      <w:bookmarkStart w:id="0" w:name="_GoBack"/>
      <w:bookmarkEnd w:id="0"/>
      <w:r w:rsidRPr="00130B86">
        <w:rPr>
          <w:rFonts w:ascii="Arial" w:hAnsi="Arial" w:cs="Arial"/>
        </w:rPr>
        <w:t>nal y lo establecido en los artículos 44° y 45° de la Carta, el Estado tiene la obligación de asistir y proteger al niño para garantizar su desarrollo armónico e integral y el</w:t>
      </w:r>
    </w:p>
    <w:p w14:paraId="25DF1D0A" w14:textId="77777777" w:rsidR="00130B86" w:rsidRDefault="00130B86" w:rsidP="0041281F">
      <w:pPr>
        <w:spacing w:line="240" w:lineRule="auto"/>
        <w:contextualSpacing/>
        <w:jc w:val="both"/>
        <w:rPr>
          <w:rFonts w:ascii="Arial" w:hAnsi="Arial" w:cs="Arial"/>
        </w:rPr>
      </w:pPr>
      <w:r w:rsidRPr="00130B86">
        <w:rPr>
          <w:rFonts w:ascii="Arial" w:hAnsi="Arial" w:cs="Arial"/>
        </w:rPr>
        <w:t xml:space="preserve">ejercicio pleno de sus derechos, y de igual forma garantizar la participación de los jóvenes en los organismos públicos y privados que tengan a cargo la protección, educación y progreso de la juventud </w:t>
      </w:r>
    </w:p>
    <w:p w14:paraId="515571C3" w14:textId="77777777" w:rsidR="00130B86" w:rsidRDefault="00130B86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1D688604" w14:textId="5E4EF525" w:rsidR="00130B86" w:rsidRDefault="00130B86" w:rsidP="00130B86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nivel del Distrito, el artículo 7 del Acuerdo Distrital 257 del 30 de noviembre de 2006, </w:t>
      </w:r>
      <w:r w:rsidRPr="00130B86">
        <w:rPr>
          <w:rFonts w:ascii="Arial" w:hAnsi="Arial" w:cs="Arial"/>
          <w:i/>
          <w:iCs/>
        </w:rPr>
        <w:t>“por el cual se dictan normas básicas sobre estructura, organización y funcionamiento de los organismos y de las entidades de Bogotá, Distrito Capital  y se dictan otras disposiciones”</w:t>
      </w:r>
      <w:r>
        <w:rPr>
          <w:rFonts w:ascii="Arial" w:hAnsi="Arial" w:cs="Arial"/>
          <w:i/>
          <w:iCs/>
        </w:rPr>
        <w:t xml:space="preserve"> </w:t>
      </w:r>
      <w:r w:rsidRPr="00130B86">
        <w:rPr>
          <w:rFonts w:ascii="Arial" w:hAnsi="Arial" w:cs="Arial"/>
        </w:rPr>
        <w:t>y se dictan otras</w:t>
      </w:r>
      <w:r>
        <w:rPr>
          <w:rFonts w:ascii="Arial" w:hAnsi="Arial" w:cs="Arial"/>
        </w:rPr>
        <w:t xml:space="preserve"> establece la efectividad como principio de la función administrativa distrital en los siguientes términos “</w:t>
      </w:r>
      <w:r w:rsidRPr="00130B86">
        <w:rPr>
          <w:rFonts w:ascii="Arial" w:hAnsi="Arial" w:cs="Arial"/>
        </w:rPr>
        <w:t>Las</w:t>
      </w:r>
      <w:r>
        <w:rPr>
          <w:rFonts w:ascii="Arial" w:hAnsi="Arial" w:cs="Arial"/>
        </w:rPr>
        <w:t xml:space="preserve"> </w:t>
      </w:r>
      <w:r w:rsidRPr="00130B86">
        <w:rPr>
          <w:rFonts w:ascii="Arial" w:hAnsi="Arial" w:cs="Arial"/>
        </w:rPr>
        <w:t>autoridades administrativas del Distrito Capital serán responsables del cumplimiento de las políticas y los objetivos propuestos en</w:t>
      </w:r>
      <w:r>
        <w:rPr>
          <w:rFonts w:ascii="Arial" w:hAnsi="Arial" w:cs="Arial"/>
        </w:rPr>
        <w:t xml:space="preserve"> </w:t>
      </w:r>
      <w:r w:rsidRPr="00130B86">
        <w:rPr>
          <w:rFonts w:ascii="Arial" w:hAnsi="Arial" w:cs="Arial"/>
        </w:rPr>
        <w:t>los Planes de Desarrollo Económico, Social y de Obras Públicas distrital y de la respectiva localidad en el Plan de Ordenamiento</w:t>
      </w:r>
      <w:r>
        <w:rPr>
          <w:rFonts w:ascii="Arial" w:hAnsi="Arial" w:cs="Arial"/>
        </w:rPr>
        <w:t xml:space="preserve"> </w:t>
      </w:r>
      <w:r w:rsidRPr="00130B86">
        <w:rPr>
          <w:rFonts w:ascii="Arial" w:hAnsi="Arial" w:cs="Arial"/>
        </w:rPr>
        <w:t>Territorial y en la misión y objetivos de los organismos y entidades, procurando la mayor efectividad e impacto para garantiz</w:t>
      </w:r>
      <w:r>
        <w:rPr>
          <w:rFonts w:ascii="Arial" w:hAnsi="Arial" w:cs="Arial"/>
        </w:rPr>
        <w:t xml:space="preserve">ar el </w:t>
      </w:r>
      <w:r w:rsidRPr="00130B86">
        <w:rPr>
          <w:rFonts w:ascii="Arial" w:hAnsi="Arial" w:cs="Arial"/>
        </w:rPr>
        <w:t>ejercicio efectivo, progresivo y sostenible de los derechos humanos, individuales y colectivos de</w:t>
      </w:r>
      <w:r>
        <w:rPr>
          <w:rFonts w:ascii="Arial" w:hAnsi="Arial" w:cs="Arial"/>
        </w:rPr>
        <w:t xml:space="preserve"> sus habitantes.</w:t>
      </w:r>
    </w:p>
    <w:p w14:paraId="522CF594" w14:textId="77777777" w:rsidR="00130B86" w:rsidRDefault="00130B86" w:rsidP="00130B86">
      <w:pPr>
        <w:spacing w:line="240" w:lineRule="auto"/>
        <w:contextualSpacing/>
        <w:jc w:val="both"/>
        <w:rPr>
          <w:rFonts w:ascii="Arial" w:hAnsi="Arial" w:cs="Arial"/>
        </w:rPr>
      </w:pPr>
    </w:p>
    <w:p w14:paraId="2E790CED" w14:textId="7AC76333" w:rsidR="00130B86" w:rsidRPr="00F85FB4" w:rsidRDefault="00130B86" w:rsidP="00130B86">
      <w:pPr>
        <w:spacing w:line="240" w:lineRule="auto"/>
        <w:contextualSpacing/>
        <w:jc w:val="both"/>
        <w:rPr>
          <w:rFonts w:ascii="Arial" w:hAnsi="Arial" w:cs="Arial"/>
          <w:color w:val="4C94D8" w:themeColor="text2" w:themeTint="80"/>
        </w:rPr>
      </w:pPr>
      <w:r w:rsidRPr="00F85FB4">
        <w:rPr>
          <w:rFonts w:ascii="Arial" w:hAnsi="Arial" w:cs="Arial"/>
          <w:color w:val="4C94D8" w:themeColor="text2" w:themeTint="80"/>
        </w:rPr>
        <w:t>Mencionar el Plan de Desarrollo Distrital y la meta, programa, proyecto a la que apunta la presente contratación</w:t>
      </w:r>
    </w:p>
    <w:p w14:paraId="79C6A520" w14:textId="77777777" w:rsidR="00130B86" w:rsidRDefault="00130B86" w:rsidP="00130B86">
      <w:pPr>
        <w:spacing w:line="240" w:lineRule="auto"/>
        <w:contextualSpacing/>
        <w:jc w:val="both"/>
        <w:rPr>
          <w:rFonts w:ascii="Arial" w:hAnsi="Arial" w:cs="Arial"/>
          <w:color w:val="FF0000"/>
        </w:rPr>
      </w:pPr>
    </w:p>
    <w:p w14:paraId="73DE8AB9" w14:textId="362B5858" w:rsidR="00130B86" w:rsidRPr="00130B86" w:rsidRDefault="00130B86" w:rsidP="00130B86">
      <w:pPr>
        <w:spacing w:line="240" w:lineRule="auto"/>
        <w:contextualSpacing/>
        <w:jc w:val="both"/>
        <w:rPr>
          <w:rFonts w:ascii="Arial" w:hAnsi="Arial" w:cs="Arial"/>
        </w:rPr>
      </w:pPr>
      <w:r w:rsidRPr="00130B86">
        <w:rPr>
          <w:rFonts w:ascii="Arial" w:hAnsi="Arial" w:cs="Arial"/>
        </w:rPr>
        <w:t>En este orden de ideas, mediante el Decreto 273 de 14 de diciembre de 2020 se creó la</w:t>
      </w:r>
      <w:r>
        <w:rPr>
          <w:rFonts w:ascii="Arial" w:hAnsi="Arial" w:cs="Arial"/>
        </w:rPr>
        <w:t xml:space="preserve"> </w:t>
      </w:r>
      <w:r w:rsidRPr="00130B86">
        <w:rPr>
          <w:rFonts w:ascii="Arial" w:hAnsi="Arial" w:cs="Arial"/>
        </w:rPr>
        <w:t>Agencia Distrital para la Educación Superior,</w:t>
      </w:r>
      <w:r>
        <w:rPr>
          <w:rFonts w:ascii="Arial" w:hAnsi="Arial" w:cs="Arial"/>
        </w:rPr>
        <w:t xml:space="preserve"> </w:t>
      </w:r>
      <w:r w:rsidRPr="00130B86">
        <w:rPr>
          <w:rFonts w:ascii="Arial" w:hAnsi="Arial" w:cs="Arial"/>
        </w:rPr>
        <w:t>la Ciencia y la Tecnología - Atenea, previas las siguientes consideraciones</w:t>
      </w:r>
      <w:r>
        <w:rPr>
          <w:rFonts w:ascii="Arial" w:hAnsi="Arial" w:cs="Arial"/>
        </w:rPr>
        <w:t>:</w:t>
      </w:r>
    </w:p>
    <w:p w14:paraId="251FB04A" w14:textId="77777777" w:rsidR="00130B86" w:rsidRDefault="00130B86" w:rsidP="0041281F">
      <w:pPr>
        <w:spacing w:line="240" w:lineRule="auto"/>
        <w:contextualSpacing/>
        <w:jc w:val="both"/>
        <w:rPr>
          <w:rFonts w:ascii="Arial" w:hAnsi="Arial" w:cs="Arial"/>
          <w:color w:val="FF0000"/>
        </w:rPr>
      </w:pPr>
    </w:p>
    <w:p w14:paraId="49DD18A9" w14:textId="7B69CE63" w:rsidR="0041281F" w:rsidRPr="00F85FB4" w:rsidRDefault="0041281F" w:rsidP="0041281F">
      <w:pPr>
        <w:spacing w:line="240" w:lineRule="auto"/>
        <w:contextualSpacing/>
        <w:jc w:val="both"/>
        <w:rPr>
          <w:rFonts w:ascii="Arial" w:hAnsi="Arial" w:cs="Arial"/>
          <w:color w:val="4C94D8" w:themeColor="text2" w:themeTint="80"/>
        </w:rPr>
      </w:pPr>
      <w:r w:rsidRPr="00F85FB4">
        <w:rPr>
          <w:rFonts w:ascii="Arial" w:hAnsi="Arial" w:cs="Arial"/>
          <w:color w:val="4C94D8" w:themeColor="text2" w:themeTint="80"/>
        </w:rPr>
        <w:t>Describir ampliamente desde todos los aspectos, técnicos, financieros y jurídicos la necesidad de realizar el convenio.</w:t>
      </w:r>
    </w:p>
    <w:p w14:paraId="4207E29C" w14:textId="77777777" w:rsidR="0041281F" w:rsidRPr="0041281F" w:rsidRDefault="0041281F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22685AD0" w14:textId="77777777" w:rsidR="0041281F" w:rsidRPr="0041281F" w:rsidRDefault="0041281F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0B07A7B2" w14:textId="57DB7026" w:rsidR="008F084F" w:rsidRDefault="0041281F" w:rsidP="0041281F">
      <w:pPr>
        <w:spacing w:line="240" w:lineRule="auto"/>
        <w:contextualSpacing/>
        <w:jc w:val="both"/>
        <w:rPr>
          <w:rFonts w:ascii="Arial" w:hAnsi="Arial" w:cs="Arial"/>
        </w:rPr>
      </w:pPr>
      <w:r w:rsidRPr="008F084F">
        <w:rPr>
          <w:rFonts w:ascii="Arial" w:hAnsi="Arial" w:cs="Arial"/>
          <w:b/>
          <w:bCs/>
        </w:rPr>
        <w:t>2.</w:t>
      </w:r>
      <w:r w:rsidRPr="008F084F">
        <w:rPr>
          <w:rFonts w:ascii="Arial" w:hAnsi="Arial" w:cs="Arial"/>
          <w:b/>
          <w:bCs/>
        </w:rPr>
        <w:tab/>
      </w:r>
      <w:r w:rsidR="00130B86" w:rsidRPr="00130B86">
        <w:rPr>
          <w:rFonts w:ascii="Arial" w:hAnsi="Arial" w:cs="Arial"/>
          <w:b/>
          <w:bCs/>
        </w:rPr>
        <w:t>OBJETO A CONTRATAR, CON SUS ESPECIFICACIONES</w:t>
      </w:r>
    </w:p>
    <w:p w14:paraId="41397B30" w14:textId="77777777" w:rsidR="00130B86" w:rsidRDefault="00130B86" w:rsidP="0041281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338426C5" w14:textId="4E757F8B" w:rsidR="0041281F" w:rsidRPr="006529F2" w:rsidRDefault="0041281F" w:rsidP="0041281F">
      <w:pPr>
        <w:spacing w:line="240" w:lineRule="auto"/>
        <w:contextualSpacing/>
        <w:jc w:val="both"/>
        <w:rPr>
          <w:rFonts w:ascii="Arial" w:hAnsi="Arial" w:cs="Arial"/>
          <w:i/>
          <w:iCs/>
          <w:color w:val="FF0000"/>
        </w:rPr>
      </w:pPr>
      <w:r w:rsidRPr="008F084F">
        <w:rPr>
          <w:rFonts w:ascii="Arial" w:hAnsi="Arial" w:cs="Arial"/>
          <w:b/>
          <w:bCs/>
        </w:rPr>
        <w:t>2.1 OBJETO</w:t>
      </w:r>
      <w:r w:rsidRPr="0041281F">
        <w:rPr>
          <w:rFonts w:ascii="Arial" w:hAnsi="Arial" w:cs="Arial"/>
        </w:rPr>
        <w:t xml:space="preserve">: </w:t>
      </w:r>
      <w:r w:rsidR="008F084F" w:rsidRPr="00F85FB4">
        <w:rPr>
          <w:rFonts w:ascii="Arial" w:hAnsi="Arial" w:cs="Arial"/>
          <w:color w:val="4C94D8" w:themeColor="text2" w:themeTint="80"/>
        </w:rPr>
        <w:t>Incluir el objeto</w:t>
      </w:r>
      <w:r w:rsidR="00130B86" w:rsidRPr="00F85FB4">
        <w:rPr>
          <w:rFonts w:ascii="Arial" w:hAnsi="Arial" w:cs="Arial"/>
          <w:color w:val="4C94D8" w:themeColor="text2" w:themeTint="80"/>
        </w:rPr>
        <w:t xml:space="preserve"> si se trata de un convenio </w:t>
      </w:r>
      <w:r w:rsidR="008F084F" w:rsidRPr="00F85FB4">
        <w:rPr>
          <w:rFonts w:ascii="Arial" w:hAnsi="Arial" w:cs="Arial"/>
          <w:color w:val="4C94D8" w:themeColor="text2" w:themeTint="80"/>
        </w:rPr>
        <w:t xml:space="preserve">deberá empezar con: </w:t>
      </w:r>
      <w:r w:rsidRPr="00F85FB4">
        <w:rPr>
          <w:rFonts w:ascii="Arial" w:hAnsi="Arial" w:cs="Arial"/>
          <w:i/>
          <w:iCs/>
          <w:color w:val="4C94D8" w:themeColor="text2" w:themeTint="80"/>
        </w:rPr>
        <w:t xml:space="preserve">Aunar esfuerzos técnicos, administrativos, jurídicos, financieros </w:t>
      </w:r>
    </w:p>
    <w:p w14:paraId="6FD017D3" w14:textId="77777777" w:rsidR="0041281F" w:rsidRPr="0041281F" w:rsidRDefault="0041281F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1D2EE5B4" w14:textId="77777777" w:rsidR="0041281F" w:rsidRDefault="0041281F" w:rsidP="0041281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8F084F">
        <w:rPr>
          <w:rFonts w:ascii="Arial" w:hAnsi="Arial" w:cs="Arial"/>
          <w:b/>
          <w:bCs/>
        </w:rPr>
        <w:t>2.1</w:t>
      </w:r>
      <w:r w:rsidRPr="008F084F">
        <w:rPr>
          <w:rFonts w:ascii="Arial" w:hAnsi="Arial" w:cs="Arial"/>
          <w:b/>
          <w:bCs/>
        </w:rPr>
        <w:tab/>
        <w:t xml:space="preserve">ALCANCE DEL OBJETO: </w:t>
      </w:r>
    </w:p>
    <w:p w14:paraId="689F13AF" w14:textId="77777777" w:rsidR="008F084F" w:rsidRDefault="008F084F" w:rsidP="0041281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DF86207" w14:textId="3BEFA6C9" w:rsidR="008F084F" w:rsidRPr="00F85FB4" w:rsidRDefault="008F084F" w:rsidP="0041281F">
      <w:pPr>
        <w:spacing w:line="240" w:lineRule="auto"/>
        <w:contextualSpacing/>
        <w:jc w:val="both"/>
        <w:rPr>
          <w:rFonts w:ascii="Arial" w:hAnsi="Arial" w:cs="Arial"/>
          <w:color w:val="4C94D8" w:themeColor="text2" w:themeTint="80"/>
        </w:rPr>
      </w:pPr>
      <w:r w:rsidRPr="00F85FB4">
        <w:rPr>
          <w:rFonts w:ascii="Arial" w:hAnsi="Arial" w:cs="Arial"/>
          <w:color w:val="4C94D8" w:themeColor="text2" w:themeTint="80"/>
        </w:rPr>
        <w:t>Describir detalladamente el alcance que se le dará al convenio</w:t>
      </w:r>
    </w:p>
    <w:p w14:paraId="161FF517" w14:textId="77777777" w:rsidR="006529F2" w:rsidRDefault="006529F2" w:rsidP="0041281F">
      <w:pPr>
        <w:spacing w:line="240" w:lineRule="auto"/>
        <w:contextualSpacing/>
        <w:jc w:val="both"/>
        <w:rPr>
          <w:rFonts w:ascii="Arial" w:hAnsi="Arial" w:cs="Arial"/>
          <w:color w:val="FF0000"/>
        </w:rPr>
      </w:pPr>
    </w:p>
    <w:p w14:paraId="18FED9DA" w14:textId="0DA48EA3" w:rsidR="006529F2" w:rsidRDefault="006529F2" w:rsidP="0041281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6529F2">
        <w:rPr>
          <w:rFonts w:ascii="Arial" w:hAnsi="Arial" w:cs="Arial"/>
          <w:b/>
          <w:bCs/>
        </w:rPr>
        <w:t>2.2 CÓDIGO CLASIFICADOR DE BIENES Y SERVICIOS UNSPSC</w:t>
      </w:r>
    </w:p>
    <w:p w14:paraId="3BEA4C9D" w14:textId="77777777" w:rsidR="006529F2" w:rsidRDefault="006529F2" w:rsidP="0041281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1FA4946" w14:textId="77777777" w:rsidR="008F2085" w:rsidRDefault="008F2085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0"/>
        <w:gridCol w:w="1472"/>
        <w:gridCol w:w="1471"/>
        <w:gridCol w:w="1471"/>
        <w:gridCol w:w="1472"/>
        <w:gridCol w:w="1472"/>
      </w:tblGrid>
      <w:tr w:rsidR="008F2085" w14:paraId="363C686A" w14:textId="77777777" w:rsidTr="008F2085">
        <w:tc>
          <w:tcPr>
            <w:tcW w:w="1471" w:type="dxa"/>
          </w:tcPr>
          <w:p w14:paraId="37FD8362" w14:textId="78A9DEE6" w:rsidR="008F2085" w:rsidRDefault="008F2085" w:rsidP="0041281F">
            <w:pPr>
              <w:contextualSpacing/>
              <w:jc w:val="both"/>
              <w:rPr>
                <w:rFonts w:ascii="Arial" w:hAnsi="Arial" w:cs="Arial"/>
              </w:rPr>
            </w:pPr>
            <w:r w:rsidRPr="0041281F">
              <w:rPr>
                <w:rFonts w:ascii="Arial" w:hAnsi="Arial" w:cs="Arial"/>
              </w:rPr>
              <w:t>GRUPO</w:t>
            </w:r>
          </w:p>
        </w:tc>
        <w:tc>
          <w:tcPr>
            <w:tcW w:w="1471" w:type="dxa"/>
          </w:tcPr>
          <w:p w14:paraId="13A61966" w14:textId="5AF8FDEC" w:rsidR="008F2085" w:rsidRDefault="008F2085" w:rsidP="0041281F">
            <w:pPr>
              <w:contextualSpacing/>
              <w:jc w:val="both"/>
              <w:rPr>
                <w:rFonts w:ascii="Arial" w:hAnsi="Arial" w:cs="Arial"/>
              </w:rPr>
            </w:pPr>
            <w:r w:rsidRPr="0041281F">
              <w:rPr>
                <w:rFonts w:ascii="Arial" w:hAnsi="Arial" w:cs="Arial"/>
              </w:rPr>
              <w:t>SEGMENTO</w:t>
            </w:r>
          </w:p>
        </w:tc>
        <w:tc>
          <w:tcPr>
            <w:tcW w:w="1471" w:type="dxa"/>
          </w:tcPr>
          <w:p w14:paraId="66292CE1" w14:textId="44DEC5DD" w:rsidR="008F2085" w:rsidRDefault="008F2085" w:rsidP="0041281F">
            <w:pPr>
              <w:contextualSpacing/>
              <w:jc w:val="both"/>
              <w:rPr>
                <w:rFonts w:ascii="Arial" w:hAnsi="Arial" w:cs="Arial"/>
              </w:rPr>
            </w:pPr>
            <w:r w:rsidRPr="0041281F">
              <w:rPr>
                <w:rFonts w:ascii="Arial" w:hAnsi="Arial" w:cs="Arial"/>
              </w:rPr>
              <w:t>FAMILIA</w:t>
            </w:r>
          </w:p>
        </w:tc>
        <w:tc>
          <w:tcPr>
            <w:tcW w:w="1471" w:type="dxa"/>
          </w:tcPr>
          <w:p w14:paraId="54AB90E0" w14:textId="2A6B2FB2" w:rsidR="008F2085" w:rsidRDefault="008F2085" w:rsidP="0041281F">
            <w:pPr>
              <w:contextualSpacing/>
              <w:jc w:val="both"/>
              <w:rPr>
                <w:rFonts w:ascii="Arial" w:hAnsi="Arial" w:cs="Arial"/>
              </w:rPr>
            </w:pPr>
            <w:r w:rsidRPr="0041281F">
              <w:rPr>
                <w:rFonts w:ascii="Arial" w:hAnsi="Arial" w:cs="Arial"/>
              </w:rPr>
              <w:t>CLASE</w:t>
            </w:r>
          </w:p>
        </w:tc>
        <w:tc>
          <w:tcPr>
            <w:tcW w:w="1472" w:type="dxa"/>
          </w:tcPr>
          <w:p w14:paraId="54E1B2BF" w14:textId="6FBB6D83" w:rsidR="008F2085" w:rsidRDefault="008F2085" w:rsidP="0041281F">
            <w:pPr>
              <w:contextualSpacing/>
              <w:jc w:val="both"/>
              <w:rPr>
                <w:rFonts w:ascii="Arial" w:hAnsi="Arial" w:cs="Arial"/>
              </w:rPr>
            </w:pPr>
            <w:r w:rsidRPr="0041281F">
              <w:rPr>
                <w:rFonts w:ascii="Arial" w:hAnsi="Arial" w:cs="Arial"/>
              </w:rPr>
              <w:t>PRODUCTO</w:t>
            </w:r>
          </w:p>
        </w:tc>
        <w:tc>
          <w:tcPr>
            <w:tcW w:w="1472" w:type="dxa"/>
          </w:tcPr>
          <w:p w14:paraId="704603DC" w14:textId="77777777" w:rsidR="008F2085" w:rsidRPr="0041281F" w:rsidRDefault="008F2085" w:rsidP="008F2085">
            <w:pPr>
              <w:contextualSpacing/>
              <w:jc w:val="both"/>
              <w:rPr>
                <w:rFonts w:ascii="Arial" w:hAnsi="Arial" w:cs="Arial"/>
              </w:rPr>
            </w:pPr>
            <w:r w:rsidRPr="0041281F">
              <w:rPr>
                <w:rFonts w:ascii="Arial" w:hAnsi="Arial" w:cs="Arial"/>
              </w:rPr>
              <w:t>NOMBRE</w:t>
            </w:r>
          </w:p>
          <w:p w14:paraId="71932D43" w14:textId="77777777" w:rsidR="008F2085" w:rsidRDefault="008F2085" w:rsidP="0041281F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F2085" w14:paraId="1572B749" w14:textId="77777777" w:rsidTr="008F2085">
        <w:tc>
          <w:tcPr>
            <w:tcW w:w="1471" w:type="dxa"/>
          </w:tcPr>
          <w:p w14:paraId="52923344" w14:textId="77777777" w:rsidR="008F2085" w:rsidRPr="0041281F" w:rsidRDefault="008F2085" w:rsidP="0041281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14:paraId="4DC5A9E5" w14:textId="77777777" w:rsidR="008F2085" w:rsidRPr="0041281F" w:rsidRDefault="008F2085" w:rsidP="0041281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14:paraId="33138923" w14:textId="77777777" w:rsidR="008F2085" w:rsidRPr="0041281F" w:rsidRDefault="008F2085" w:rsidP="0041281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71" w:type="dxa"/>
          </w:tcPr>
          <w:p w14:paraId="0F80E07B" w14:textId="77777777" w:rsidR="008F2085" w:rsidRPr="0041281F" w:rsidRDefault="008F2085" w:rsidP="0041281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5E307D36" w14:textId="77777777" w:rsidR="008F2085" w:rsidRPr="0041281F" w:rsidRDefault="008F2085" w:rsidP="0041281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1472" w:type="dxa"/>
          </w:tcPr>
          <w:p w14:paraId="0540791B" w14:textId="77777777" w:rsidR="008F2085" w:rsidRPr="0041281F" w:rsidRDefault="008F2085" w:rsidP="008F208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2E97A8CE" w14:textId="77777777" w:rsidR="008F2085" w:rsidRPr="0041281F" w:rsidRDefault="008F2085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4A0B9162" w14:textId="72FFF584" w:rsidR="0041281F" w:rsidRDefault="006529F2" w:rsidP="0041281F">
      <w:pPr>
        <w:spacing w:line="240" w:lineRule="auto"/>
        <w:contextualSpacing/>
        <w:jc w:val="both"/>
        <w:rPr>
          <w:rFonts w:ascii="Arial" w:hAnsi="Arial" w:cs="Arial"/>
        </w:rPr>
      </w:pPr>
      <w:r w:rsidRPr="006529F2">
        <w:rPr>
          <w:rFonts w:ascii="Arial" w:hAnsi="Arial" w:cs="Arial"/>
          <w:b/>
          <w:bCs/>
        </w:rPr>
        <w:t>2.3 COMPROMISOS DEL ASOCIADO O CONTRATISTA</w:t>
      </w:r>
      <w:r w:rsidR="0041281F" w:rsidRPr="006529F2">
        <w:rPr>
          <w:rFonts w:ascii="Arial" w:hAnsi="Arial" w:cs="Arial"/>
          <w:b/>
          <w:bCs/>
        </w:rPr>
        <w:tab/>
      </w:r>
      <w:r w:rsidR="0041281F" w:rsidRPr="006529F2">
        <w:rPr>
          <w:rFonts w:ascii="Arial" w:hAnsi="Arial" w:cs="Arial"/>
          <w:b/>
          <w:bCs/>
        </w:rPr>
        <w:tab/>
      </w:r>
    </w:p>
    <w:p w14:paraId="1B8E97F0" w14:textId="77777777" w:rsidR="006529F2" w:rsidRDefault="006529F2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61A093FC" w14:textId="670C7F54" w:rsidR="006529F2" w:rsidRPr="00F85FB4" w:rsidRDefault="006529F2" w:rsidP="0041281F">
      <w:pPr>
        <w:spacing w:line="240" w:lineRule="auto"/>
        <w:contextualSpacing/>
        <w:jc w:val="both"/>
        <w:rPr>
          <w:rFonts w:ascii="Arial" w:hAnsi="Arial" w:cs="Arial"/>
          <w:color w:val="4C94D8" w:themeColor="text2" w:themeTint="80"/>
        </w:rPr>
      </w:pPr>
      <w:r w:rsidRPr="00F85FB4">
        <w:rPr>
          <w:rFonts w:ascii="Arial" w:hAnsi="Arial" w:cs="Arial"/>
          <w:color w:val="4C94D8" w:themeColor="text2" w:themeTint="80"/>
        </w:rPr>
        <w:t>En desarrollo del objeto contractual la entidad deberá ejecutar las siguientes actividades:</w:t>
      </w:r>
    </w:p>
    <w:p w14:paraId="1E3C2F36" w14:textId="77777777" w:rsidR="006529F2" w:rsidRPr="00F85FB4" w:rsidRDefault="006529F2" w:rsidP="006529F2">
      <w:pPr>
        <w:spacing w:line="240" w:lineRule="auto"/>
        <w:contextualSpacing/>
        <w:jc w:val="both"/>
        <w:rPr>
          <w:rFonts w:ascii="Arial" w:hAnsi="Arial" w:cs="Arial"/>
          <w:b/>
          <w:bCs/>
          <w:color w:val="4C94D8" w:themeColor="text2" w:themeTint="80"/>
        </w:rPr>
      </w:pPr>
    </w:p>
    <w:p w14:paraId="20CC763A" w14:textId="5BB3D5DF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COMPROMISOS GENERALES:</w:t>
      </w:r>
    </w:p>
    <w:p w14:paraId="7ED8D1DA" w14:textId="77777777" w:rsidR="006529F2" w:rsidRPr="006529F2" w:rsidRDefault="006529F2" w:rsidP="006529F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0A02DCCD" w14:textId="77777777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76A23A0" w14:textId="33C3C38B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COMPROMISOS ESPECIFICOS:</w:t>
      </w:r>
    </w:p>
    <w:p w14:paraId="3F3CDFF6" w14:textId="77777777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55AB15B3" w14:textId="77777777" w:rsidR="006529F2" w:rsidRPr="006529F2" w:rsidRDefault="006529F2" w:rsidP="006529F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05EBE1C5" w14:textId="23DCDD09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6529F2">
        <w:rPr>
          <w:rFonts w:ascii="Arial" w:hAnsi="Arial" w:cs="Arial"/>
          <w:b/>
          <w:bCs/>
        </w:rPr>
        <w:t>2.4 COMPROMISOS DE ATENEA:</w:t>
      </w:r>
    </w:p>
    <w:p w14:paraId="4571248C" w14:textId="77777777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6495353C" w14:textId="77777777" w:rsidR="006529F2" w:rsidRPr="006529F2" w:rsidRDefault="006529F2" w:rsidP="006529F2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bCs/>
        </w:rPr>
      </w:pPr>
    </w:p>
    <w:p w14:paraId="4540EA0E" w14:textId="2A59351E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2.5 TIPO DE CONVENIO A CELEBRAR</w:t>
      </w:r>
    </w:p>
    <w:p w14:paraId="29056C9A" w14:textId="77777777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165B3615" w14:textId="50A3BAAB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</w:rPr>
      </w:pPr>
      <w:r w:rsidRPr="006529F2">
        <w:rPr>
          <w:rFonts w:ascii="Arial" w:hAnsi="Arial" w:cs="Arial"/>
        </w:rPr>
        <w:t>De acuerdo con lo dispuesto en la Ley 1150 de 2007, el artículo 2, numeral 4, en el literal c), modificado por el artículo 92 de la Ley</w:t>
      </w:r>
      <w:r>
        <w:rPr>
          <w:rFonts w:ascii="Arial" w:hAnsi="Arial" w:cs="Arial"/>
        </w:rPr>
        <w:t xml:space="preserve"> </w:t>
      </w:r>
      <w:r w:rsidRPr="006529F2">
        <w:rPr>
          <w:rFonts w:ascii="Arial" w:hAnsi="Arial" w:cs="Arial"/>
        </w:rPr>
        <w:t>1474 de 2011, determina que la modalidad de selección de contratación directa procederá en el caso de Convenios</w:t>
      </w:r>
      <w:r>
        <w:rPr>
          <w:rFonts w:ascii="Arial" w:hAnsi="Arial" w:cs="Arial"/>
        </w:rPr>
        <w:t xml:space="preserve"> </w:t>
      </w:r>
      <w:r w:rsidRPr="006529F2">
        <w:rPr>
          <w:rFonts w:ascii="Arial" w:hAnsi="Arial" w:cs="Arial"/>
        </w:rPr>
        <w:t>interadministrativos, siempre que las obligaciones derivadas del mismo tengan relación directa con el objeto de la entidad ejecutora</w:t>
      </w:r>
      <w:r>
        <w:rPr>
          <w:rFonts w:ascii="Arial" w:hAnsi="Arial" w:cs="Arial"/>
        </w:rPr>
        <w:t xml:space="preserve"> </w:t>
      </w:r>
      <w:r w:rsidRPr="006529F2">
        <w:rPr>
          <w:rFonts w:ascii="Arial" w:hAnsi="Arial" w:cs="Arial"/>
        </w:rPr>
        <w:t>señalado en la ley o en sus reglamentos</w:t>
      </w:r>
    </w:p>
    <w:p w14:paraId="26599E86" w14:textId="77777777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</w:rPr>
      </w:pPr>
    </w:p>
    <w:p w14:paraId="7C3E3FBC" w14:textId="61019F85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</w:rPr>
      </w:pPr>
      <w:r w:rsidRPr="006529F2">
        <w:rPr>
          <w:rFonts w:ascii="Arial" w:hAnsi="Arial" w:cs="Arial"/>
        </w:rPr>
        <w:t>A su vez el artículo 2.2.1.2.1.4.4 del Decreto 1082 de 2015 establece lo siguiente:</w:t>
      </w:r>
      <w:r>
        <w:rPr>
          <w:rFonts w:ascii="Arial" w:hAnsi="Arial" w:cs="Arial"/>
        </w:rPr>
        <w:t xml:space="preserve"> artículo 2.2.1.2.1.4.4 convenios o contratos </w:t>
      </w:r>
      <w:r w:rsidRPr="006529F2">
        <w:rPr>
          <w:rFonts w:ascii="Arial" w:hAnsi="Arial" w:cs="Arial"/>
        </w:rPr>
        <w:t xml:space="preserve">interadministrativos. La modalidad de selección para la </w:t>
      </w:r>
      <w:r w:rsidRPr="006529F2">
        <w:rPr>
          <w:rFonts w:ascii="Arial" w:hAnsi="Arial" w:cs="Arial"/>
        </w:rPr>
        <w:lastRenderedPageBreak/>
        <w:t>contratación entre Entidades Estatales es la contratación directa; y, en</w:t>
      </w:r>
      <w:r>
        <w:rPr>
          <w:rFonts w:ascii="Arial" w:hAnsi="Arial" w:cs="Arial"/>
        </w:rPr>
        <w:t xml:space="preserve"> consecuencia, le es aplicable lo establecido en el artículo 2.2.1.2.1.4.1 del presente decreto.</w:t>
      </w:r>
    </w:p>
    <w:p w14:paraId="5425CEBE" w14:textId="2130783E" w:rsidR="006529F2" w:rsidRPr="006529F2" w:rsidRDefault="006529F2" w:rsidP="006529F2">
      <w:pPr>
        <w:spacing w:line="240" w:lineRule="auto"/>
        <w:contextualSpacing/>
        <w:jc w:val="both"/>
        <w:rPr>
          <w:rFonts w:ascii="Arial" w:hAnsi="Arial" w:cs="Arial"/>
          <w:color w:val="FF0000"/>
        </w:rPr>
      </w:pPr>
      <w:r w:rsidRPr="00F85FB4">
        <w:rPr>
          <w:rFonts w:ascii="Arial" w:hAnsi="Arial" w:cs="Arial"/>
          <w:color w:val="4C94D8" w:themeColor="text2" w:themeTint="80"/>
        </w:rPr>
        <w:t>Mencionar la Entidad y su naturaleza jurídica publica con la que se suscribirá el convenio o contrato por el cual procede esta modalidad</w:t>
      </w:r>
      <w:r w:rsidRPr="006529F2">
        <w:rPr>
          <w:rFonts w:ascii="Arial" w:hAnsi="Arial" w:cs="Arial"/>
          <w:color w:val="FF0000"/>
        </w:rPr>
        <w:t>.</w:t>
      </w:r>
    </w:p>
    <w:p w14:paraId="7C106A12" w14:textId="77777777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  <w:b/>
          <w:bCs/>
          <w:color w:val="FF0000"/>
        </w:rPr>
      </w:pPr>
    </w:p>
    <w:p w14:paraId="17ABD56C" w14:textId="5421BC73" w:rsidR="006529F2" w:rsidRPr="006529F2" w:rsidRDefault="006529F2" w:rsidP="006529F2">
      <w:pPr>
        <w:spacing w:line="240" w:lineRule="auto"/>
        <w:contextualSpacing/>
        <w:jc w:val="both"/>
        <w:rPr>
          <w:rFonts w:ascii="Arial" w:hAnsi="Arial" w:cs="Arial"/>
          <w:color w:val="FF0000"/>
        </w:rPr>
      </w:pPr>
      <w:r w:rsidRPr="006529F2">
        <w:rPr>
          <w:rFonts w:ascii="Arial" w:hAnsi="Arial" w:cs="Arial"/>
          <w:b/>
          <w:bCs/>
        </w:rPr>
        <w:t xml:space="preserve">2.6 </w:t>
      </w:r>
      <w:bookmarkStart w:id="1" w:name="_Hlk190776323"/>
      <w:r w:rsidRPr="006529F2">
        <w:rPr>
          <w:rFonts w:ascii="Arial" w:hAnsi="Arial" w:cs="Arial"/>
          <w:b/>
          <w:bCs/>
        </w:rPr>
        <w:t>COMITÉ TÉCNICO</w:t>
      </w:r>
      <w:r w:rsidR="00E313D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Pr="00F85FB4">
        <w:rPr>
          <w:rFonts w:ascii="Arial" w:hAnsi="Arial" w:cs="Arial"/>
          <w:color w:val="4C94D8" w:themeColor="text2" w:themeTint="80"/>
        </w:rPr>
        <w:t>(revisar si es aplicable)</w:t>
      </w:r>
    </w:p>
    <w:p w14:paraId="1C68C2C4" w14:textId="77777777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  <w:b/>
          <w:bCs/>
          <w:color w:val="FF0000"/>
        </w:rPr>
      </w:pPr>
    </w:p>
    <w:p w14:paraId="14547A8A" w14:textId="69C184D2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</w:rPr>
      </w:pPr>
      <w:r w:rsidRPr="006529F2">
        <w:rPr>
          <w:rFonts w:ascii="Arial" w:hAnsi="Arial" w:cs="Arial"/>
        </w:rPr>
        <w:t xml:space="preserve">El Comité Técnico estará integrado por 3 representantes, correspondiéndole dos a la Agencia ATENEA y uno a </w:t>
      </w:r>
      <w:r w:rsidRPr="00E313D1">
        <w:rPr>
          <w:rFonts w:ascii="Arial" w:hAnsi="Arial" w:cs="Arial"/>
          <w:color w:val="FF0000"/>
        </w:rPr>
        <w:t>_________</w:t>
      </w:r>
      <w:r w:rsidRPr="006529F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529F2">
        <w:rPr>
          <w:rFonts w:ascii="Arial" w:hAnsi="Arial" w:cs="Arial"/>
        </w:rPr>
        <w:t>de la siguiente manera:</w:t>
      </w:r>
    </w:p>
    <w:p w14:paraId="76C3F7B8" w14:textId="77777777" w:rsidR="006529F2" w:rsidRPr="006529F2" w:rsidRDefault="006529F2" w:rsidP="006529F2">
      <w:pPr>
        <w:spacing w:line="240" w:lineRule="auto"/>
        <w:contextualSpacing/>
        <w:jc w:val="both"/>
        <w:rPr>
          <w:rFonts w:ascii="Arial" w:hAnsi="Arial" w:cs="Arial"/>
        </w:rPr>
      </w:pPr>
    </w:p>
    <w:p w14:paraId="43BD089B" w14:textId="7F6E2D7E" w:rsidR="006529F2" w:rsidRPr="006529F2" w:rsidRDefault="006529F2" w:rsidP="006529F2">
      <w:pPr>
        <w:spacing w:line="240" w:lineRule="auto"/>
        <w:contextualSpacing/>
        <w:jc w:val="both"/>
        <w:rPr>
          <w:rFonts w:ascii="Arial" w:hAnsi="Arial" w:cs="Arial"/>
        </w:rPr>
      </w:pPr>
      <w:r w:rsidRPr="006529F2">
        <w:rPr>
          <w:rFonts w:ascii="Arial" w:hAnsi="Arial" w:cs="Arial"/>
        </w:rPr>
        <w:t xml:space="preserve">Por parte de ATENEA: El supervisor del convenio y/o su delegado y un representante que designe </w:t>
      </w:r>
      <w:r>
        <w:rPr>
          <w:rFonts w:ascii="Arial" w:hAnsi="Arial" w:cs="Arial"/>
        </w:rPr>
        <w:t>el Director General</w:t>
      </w:r>
      <w:r w:rsidRPr="006529F2">
        <w:rPr>
          <w:rFonts w:ascii="Arial" w:hAnsi="Arial" w:cs="Arial"/>
        </w:rPr>
        <w:t>.</w:t>
      </w:r>
    </w:p>
    <w:p w14:paraId="340CBD29" w14:textId="77777777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</w:rPr>
      </w:pPr>
    </w:p>
    <w:p w14:paraId="45FFEF43" w14:textId="31ED74E8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</w:rPr>
      </w:pPr>
      <w:r w:rsidRPr="006529F2">
        <w:rPr>
          <w:rFonts w:ascii="Arial" w:hAnsi="Arial" w:cs="Arial"/>
        </w:rPr>
        <w:t xml:space="preserve">Por parte de </w:t>
      </w:r>
      <w:r w:rsidRPr="00E313D1">
        <w:rPr>
          <w:rFonts w:ascii="Arial" w:hAnsi="Arial" w:cs="Arial"/>
          <w:color w:val="FF0000"/>
        </w:rPr>
        <w:t>_________:</w:t>
      </w:r>
      <w:r w:rsidRPr="006529F2">
        <w:rPr>
          <w:rFonts w:ascii="Arial" w:hAnsi="Arial" w:cs="Arial"/>
        </w:rPr>
        <w:t xml:space="preserve"> El supervisor del convenio y/o su delegado.</w:t>
      </w:r>
    </w:p>
    <w:p w14:paraId="17B9E579" w14:textId="77777777" w:rsidR="006529F2" w:rsidRPr="006529F2" w:rsidRDefault="006529F2" w:rsidP="006529F2">
      <w:pPr>
        <w:spacing w:line="240" w:lineRule="auto"/>
        <w:contextualSpacing/>
        <w:jc w:val="both"/>
        <w:rPr>
          <w:rFonts w:ascii="Arial" w:hAnsi="Arial" w:cs="Arial"/>
        </w:rPr>
      </w:pPr>
    </w:p>
    <w:p w14:paraId="10046F85" w14:textId="7C275B6C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</w:rPr>
      </w:pPr>
      <w:r w:rsidRPr="006529F2">
        <w:rPr>
          <w:rFonts w:ascii="Arial" w:hAnsi="Arial" w:cs="Arial"/>
        </w:rPr>
        <w:t>En caso de que, el miembro titular no pueda concurrir a los comités respectivos, lo hará en su lugar un suplente, determinado por el</w:t>
      </w:r>
      <w:r w:rsidR="00E313D1">
        <w:rPr>
          <w:rFonts w:ascii="Arial" w:hAnsi="Arial" w:cs="Arial"/>
        </w:rPr>
        <w:t xml:space="preserve"> </w:t>
      </w:r>
      <w:r w:rsidRPr="006529F2">
        <w:rPr>
          <w:rFonts w:ascii="Arial" w:hAnsi="Arial" w:cs="Arial"/>
        </w:rPr>
        <w:t>supervisor del convenio, quien tendrá los mismos derechos y atribuciones del titular.</w:t>
      </w:r>
    </w:p>
    <w:p w14:paraId="344648C9" w14:textId="77777777" w:rsidR="00E313D1" w:rsidRPr="006529F2" w:rsidRDefault="00E313D1" w:rsidP="006529F2">
      <w:pPr>
        <w:spacing w:line="240" w:lineRule="auto"/>
        <w:contextualSpacing/>
        <w:jc w:val="both"/>
        <w:rPr>
          <w:rFonts w:ascii="Arial" w:hAnsi="Arial" w:cs="Arial"/>
        </w:rPr>
      </w:pPr>
    </w:p>
    <w:p w14:paraId="27BD7155" w14:textId="2C96FCE2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</w:rPr>
      </w:pPr>
      <w:r w:rsidRPr="006529F2">
        <w:rPr>
          <w:rFonts w:ascii="Arial" w:hAnsi="Arial" w:cs="Arial"/>
        </w:rPr>
        <w:t>Si el Comité Técnico lo considera pertinente, podrán asistir como invitados personas expertas en temas relacionados con el Convenio</w:t>
      </w:r>
      <w:r w:rsidR="00E313D1">
        <w:rPr>
          <w:rFonts w:ascii="Arial" w:hAnsi="Arial" w:cs="Arial"/>
        </w:rPr>
        <w:t xml:space="preserve"> </w:t>
      </w:r>
      <w:r w:rsidRPr="006529F2">
        <w:rPr>
          <w:rFonts w:ascii="Arial" w:hAnsi="Arial" w:cs="Arial"/>
        </w:rPr>
        <w:t>Interadministrativo</w:t>
      </w:r>
      <w:r w:rsidR="00E313D1">
        <w:rPr>
          <w:rFonts w:ascii="Arial" w:hAnsi="Arial" w:cs="Arial"/>
        </w:rPr>
        <w:t>.</w:t>
      </w:r>
    </w:p>
    <w:p w14:paraId="3F1E4F41" w14:textId="77777777" w:rsidR="00E313D1" w:rsidRDefault="00E313D1" w:rsidP="006529F2">
      <w:pPr>
        <w:spacing w:line="240" w:lineRule="auto"/>
        <w:contextualSpacing/>
        <w:jc w:val="both"/>
        <w:rPr>
          <w:rFonts w:ascii="Arial" w:hAnsi="Arial" w:cs="Arial"/>
        </w:rPr>
      </w:pPr>
    </w:p>
    <w:p w14:paraId="2AE9A1E8" w14:textId="66A9803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El Comité Técnico, deberá reunirse por lo menos cada semestre o cuando alguna de las partes lo convoque, para resolver situaciones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>que requieran la atención o decisión de los integrantes. De las reuniones, se levantarán actas firmadas por los asistentes nombrados,</w:t>
      </w:r>
    </w:p>
    <w:p w14:paraId="549D99CB" w14:textId="552ADE8D" w:rsid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donde se consignarán los acuerdos, compromisos y decisiones adoptadas. Este comité únicamente se podrá reunir cuando estén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>las partes y sus decisiones se tomarán por mayoría.</w:t>
      </w:r>
    </w:p>
    <w:p w14:paraId="28B34EED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</w:p>
    <w:p w14:paraId="0EC7910B" w14:textId="49CE24CC" w:rsid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El Comité Técnico, tendrá un secretario (a) permanente que se designará en la primera sesión, quien será el encargado de citar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>reuniones, llevar actas y comunicar a las partes, el desarrollo /convenio. Igualmente tendrá un Coordinador o Relator, quien será el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>encargado de moderar las reuniones.</w:t>
      </w:r>
    </w:p>
    <w:p w14:paraId="6B8C5BD8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</w:p>
    <w:p w14:paraId="19140739" w14:textId="77777777" w:rsid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El Comité Técnico, realizará las siguientes funciones:</w:t>
      </w:r>
    </w:p>
    <w:p w14:paraId="2894184A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</w:p>
    <w:p w14:paraId="3065E056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1.Establecer y recomendar las acciones que consideren pertinentes para la correcta ejecución del convenio interadministrativo.</w:t>
      </w:r>
    </w:p>
    <w:p w14:paraId="4F5C19C9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2.Revisar el avance del convenio interadministrativo y verificar el cumplimiento de actividades, metas y cronogramas establecidos.</w:t>
      </w:r>
    </w:p>
    <w:p w14:paraId="1B5605FE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lastRenderedPageBreak/>
        <w:t>3.Tomar medidas correctivas para corregir las dificultades, en la ejecución del convenio interadministrativo.</w:t>
      </w:r>
    </w:p>
    <w:p w14:paraId="4E30B02C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4. Revisar y aprobar la solicitud de prórrogas o adiciones, del convenio interadministrativo.</w:t>
      </w:r>
    </w:p>
    <w:p w14:paraId="7BB67B9A" w14:textId="0B66482D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5. Velar por el cumplimiento de los procedimientos establecidos para la definición programación, ejecución y seguimiento de las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>actividades.</w:t>
      </w:r>
    </w:p>
    <w:p w14:paraId="22B0CD91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6. Coordinar la ejecución del convenio interadministrativo.</w:t>
      </w:r>
    </w:p>
    <w:p w14:paraId="73CAE8A6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7. Establecer las actividades y proyectos que se desarrollarán en virtud del convenio interadministrativo.</w:t>
      </w:r>
    </w:p>
    <w:p w14:paraId="4A4C1241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8.Estudios de casos especiales y su correspondiente manejo y abordaje.</w:t>
      </w:r>
    </w:p>
    <w:p w14:paraId="63651B75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9. Verificación del cumplimiento de los compromisos asumidos, por cada una de las partes en el comité anterior.</w:t>
      </w:r>
    </w:p>
    <w:p w14:paraId="297ADCBE" w14:textId="0ADEB34D" w:rsidR="00E313D1" w:rsidRPr="006529F2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10. La aprobación, seguimiento y evaluación de actividades se tramitará en el Comité Técnico del convenio interadministrativo, las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>cuales serán aprobadas por consenso y la decisión quedará consignada en las actas de reunión. Se llevará un registro de las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>actividades programadas y se someterá a evaluación periódica.</w:t>
      </w:r>
    </w:p>
    <w:p w14:paraId="1B92E104" w14:textId="77777777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  <w:b/>
          <w:bCs/>
          <w:color w:val="FF0000"/>
        </w:rPr>
      </w:pPr>
    </w:p>
    <w:bookmarkEnd w:id="1"/>
    <w:p w14:paraId="3378D413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E313D1">
        <w:rPr>
          <w:rFonts w:ascii="Arial" w:hAnsi="Arial" w:cs="Arial"/>
          <w:b/>
          <w:bCs/>
        </w:rPr>
        <w:t>2.7. PLAZO DE EJECUCIÓN DEL CONVENIO RESULTANTE:</w:t>
      </w:r>
    </w:p>
    <w:p w14:paraId="5E3ED3D1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  <w:b/>
          <w:bCs/>
          <w:color w:val="FF0000"/>
        </w:rPr>
      </w:pPr>
    </w:p>
    <w:p w14:paraId="77B4FFA3" w14:textId="28B09CB2" w:rsidR="006529F2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 xml:space="preserve">El plazo para la ejecución del objeto contractual es hasta </w:t>
      </w:r>
      <w:r w:rsidRPr="00E313D1">
        <w:rPr>
          <w:rFonts w:ascii="Arial" w:hAnsi="Arial" w:cs="Arial"/>
          <w:color w:val="FF0000"/>
        </w:rPr>
        <w:t>_________,</w:t>
      </w:r>
      <w:r w:rsidRPr="00E313D1">
        <w:rPr>
          <w:rFonts w:ascii="Arial" w:hAnsi="Arial" w:cs="Arial"/>
        </w:rPr>
        <w:t xml:space="preserve"> contados a partir de la suscripción del acta de inicio,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>previo cumplimiento de los requisitos de perfeccionamiento y ejecución del mismo.</w:t>
      </w:r>
    </w:p>
    <w:p w14:paraId="392A2FDC" w14:textId="77777777" w:rsid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</w:p>
    <w:p w14:paraId="75C00028" w14:textId="518CE44C" w:rsidR="006529F2" w:rsidRDefault="006529F2" w:rsidP="006529F2">
      <w:pPr>
        <w:spacing w:line="240" w:lineRule="auto"/>
        <w:contextualSpacing/>
        <w:jc w:val="both"/>
        <w:rPr>
          <w:rFonts w:ascii="Arial" w:hAnsi="Arial" w:cs="Arial"/>
        </w:rPr>
      </w:pPr>
      <w:r w:rsidRPr="008F2085">
        <w:rPr>
          <w:rFonts w:ascii="Arial" w:hAnsi="Arial" w:cs="Arial"/>
          <w:b/>
          <w:bCs/>
        </w:rPr>
        <w:t>4</w:t>
      </w:r>
      <w:r w:rsidRPr="008F2085">
        <w:rPr>
          <w:rFonts w:ascii="Arial" w:hAnsi="Arial" w:cs="Arial"/>
        </w:rPr>
        <w:t>.</w:t>
      </w:r>
      <w:r w:rsidRPr="008F2085">
        <w:rPr>
          <w:rFonts w:ascii="Arial" w:hAnsi="Arial" w:cs="Arial"/>
          <w:b/>
          <w:bCs/>
        </w:rPr>
        <w:tab/>
      </w:r>
      <w:r w:rsidR="00E313D1">
        <w:rPr>
          <w:rFonts w:ascii="Arial" w:hAnsi="Arial" w:cs="Arial"/>
          <w:b/>
          <w:bCs/>
        </w:rPr>
        <w:t>LUGAR DE EJECUCIÓN DEL CONVENIO</w:t>
      </w:r>
      <w:r w:rsidRPr="0041281F">
        <w:rPr>
          <w:rFonts w:ascii="Arial" w:hAnsi="Arial" w:cs="Arial"/>
        </w:rPr>
        <w:t>:</w:t>
      </w:r>
    </w:p>
    <w:p w14:paraId="4A4B30B8" w14:textId="77777777" w:rsidR="006529F2" w:rsidRDefault="006529F2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35FE22A7" w14:textId="22F51741" w:rsidR="00E313D1" w:rsidRDefault="00E313D1" w:rsidP="0041281F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Para todos los efectos legales se tendrá como lugar de ejecución la ciudad de Bogotá D.C</w:t>
      </w:r>
    </w:p>
    <w:p w14:paraId="11225F03" w14:textId="77777777" w:rsidR="00E313D1" w:rsidRDefault="00E313D1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09C5D6B3" w14:textId="51CC5BED" w:rsidR="00E313D1" w:rsidRDefault="0041281F" w:rsidP="0041281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8F2085">
        <w:rPr>
          <w:rFonts w:ascii="Arial" w:hAnsi="Arial" w:cs="Arial"/>
          <w:b/>
          <w:bCs/>
        </w:rPr>
        <w:t>5.</w:t>
      </w:r>
      <w:r w:rsidRPr="008F2085">
        <w:rPr>
          <w:rFonts w:ascii="Arial" w:hAnsi="Arial" w:cs="Arial"/>
          <w:b/>
          <w:bCs/>
        </w:rPr>
        <w:tab/>
      </w:r>
      <w:r w:rsidR="00E313D1">
        <w:rPr>
          <w:rFonts w:ascii="Arial" w:hAnsi="Arial" w:cs="Arial"/>
          <w:b/>
          <w:bCs/>
        </w:rPr>
        <w:t>SUPERVISIÓN:</w:t>
      </w:r>
    </w:p>
    <w:p w14:paraId="17E60AC3" w14:textId="77777777" w:rsidR="00E313D1" w:rsidRDefault="00E313D1" w:rsidP="0041281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9569B12" w14:textId="77777777" w:rsid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bookmarkStart w:id="2" w:name="_Hlk190776188"/>
      <w:r w:rsidRPr="00E313D1">
        <w:rPr>
          <w:rFonts w:ascii="Arial" w:hAnsi="Arial" w:cs="Arial"/>
        </w:rPr>
        <w:t>La Supervisión del convenio interadministrativo será ejercida por:</w:t>
      </w:r>
    </w:p>
    <w:p w14:paraId="22A8D3CE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</w:p>
    <w:p w14:paraId="5A87AA26" w14:textId="0BCF8D04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- POR PARTE DE ATENEA</w:t>
      </w:r>
      <w:r>
        <w:rPr>
          <w:rFonts w:ascii="Arial" w:hAnsi="Arial" w:cs="Arial"/>
        </w:rPr>
        <w:t xml:space="preserve">: </w:t>
      </w:r>
      <w:r w:rsidRPr="00E313D1">
        <w:rPr>
          <w:rFonts w:ascii="Arial" w:hAnsi="Arial" w:cs="Arial"/>
          <w:color w:val="FF0000"/>
        </w:rPr>
        <w:t>______________</w:t>
      </w:r>
      <w:r w:rsidRPr="00E313D1">
        <w:rPr>
          <w:rFonts w:ascii="Arial" w:hAnsi="Arial" w:cs="Arial"/>
        </w:rPr>
        <w:t xml:space="preserve"> o por quien designe el ordenador del gasto.</w:t>
      </w:r>
    </w:p>
    <w:p w14:paraId="4574BBE5" w14:textId="6FE0BF5D" w:rsid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- POR PARTE DE</w:t>
      </w:r>
      <w:r w:rsidR="002B157F">
        <w:rPr>
          <w:rFonts w:ascii="Arial" w:hAnsi="Arial" w:cs="Arial"/>
        </w:rPr>
        <w:t>L ASOCIADO O CONTRATISTA:</w:t>
      </w:r>
      <w:r w:rsidRPr="00E313D1"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  <w:color w:val="FF0000"/>
        </w:rPr>
        <w:t>______________</w:t>
      </w:r>
      <w:r w:rsidRPr="00E313D1">
        <w:rPr>
          <w:rFonts w:ascii="Arial" w:hAnsi="Arial" w:cs="Arial"/>
        </w:rPr>
        <w:t xml:space="preserve">. </w:t>
      </w:r>
    </w:p>
    <w:p w14:paraId="4EBC6568" w14:textId="77777777" w:rsid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</w:p>
    <w:p w14:paraId="53CD4776" w14:textId="06C7B0C9" w:rsid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>La Supervisión deberá observar las obligaciones propias de su actividad, los artículos 83 y 84 de la Ley 1474 de 2011 y demás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 xml:space="preserve">normas vigentes que regulan la materia, además de los Manuales de Supervisión e Interventoría de sus respectivas entidades, </w:t>
      </w:r>
      <w:r>
        <w:rPr>
          <w:rFonts w:ascii="Arial" w:hAnsi="Arial" w:cs="Arial"/>
        </w:rPr>
        <w:t>s</w:t>
      </w:r>
      <w:r w:rsidRPr="00E313D1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>perjuicio de lo anterior y, atendiendo la especificidad del objeto del convenio interadministrativo y de las obligaciones a cargo de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  <w:color w:val="FF0000"/>
        </w:rPr>
        <w:t>__________,</w:t>
      </w:r>
      <w:r w:rsidRPr="00E313D1">
        <w:rPr>
          <w:rFonts w:ascii="Arial" w:hAnsi="Arial" w:cs="Arial"/>
        </w:rPr>
        <w:t xml:space="preserve"> el supervisor tendrá el deber de cumplir con las previsiones descritas en el presente estudio previo.</w:t>
      </w:r>
    </w:p>
    <w:p w14:paraId="63BBBD82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</w:p>
    <w:p w14:paraId="1BD9BD1D" w14:textId="6A72AE98" w:rsid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lastRenderedPageBreak/>
        <w:t>En todo caso no podrá adoptar decisiones que impliquen la modificación de los términos y condiciones previstas en el convenio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>interadministrativo, las cuales únicamente podrán ser adoptadas por los representantes legales de los partes debidamente facultados,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>mediante la suscripción de las correspondientes modificaciones al convenio interadministrativo principal.</w:t>
      </w:r>
    </w:p>
    <w:p w14:paraId="5466A997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</w:p>
    <w:p w14:paraId="4A68BCCF" w14:textId="6D8CCABB" w:rsid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NOTA</w:t>
      </w:r>
      <w:r w:rsidRPr="00E313D1">
        <w:rPr>
          <w:rFonts w:ascii="Arial" w:hAnsi="Arial" w:cs="Arial"/>
        </w:rPr>
        <w:t>: El ordenador del gasto de ATENEA podrá modificar la designación de la supervisión cuando así lo requiera, sin que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 xml:space="preserve">ello implique modificación contractual alguna y </w:t>
      </w:r>
      <w:r>
        <w:rPr>
          <w:rFonts w:ascii="Arial" w:hAnsi="Arial" w:cs="Arial"/>
        </w:rPr>
        <w:t>_______</w:t>
      </w:r>
      <w:r w:rsidRPr="00E313D1">
        <w:rPr>
          <w:rFonts w:ascii="Arial" w:hAnsi="Arial" w:cs="Arial"/>
        </w:rPr>
        <w:t xml:space="preserve"> podrá modificar su delegado y el designado cuando así lo manifieste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>por escrito.</w:t>
      </w:r>
    </w:p>
    <w:p w14:paraId="35DB2E77" w14:textId="77777777" w:rsidR="00E313D1" w:rsidRP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</w:p>
    <w:p w14:paraId="7049E71D" w14:textId="63F0CA80" w:rsid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  <w:r w:rsidRPr="00E313D1">
        <w:rPr>
          <w:rFonts w:ascii="Arial" w:hAnsi="Arial" w:cs="Arial"/>
        </w:rPr>
        <w:t xml:space="preserve">Para tal efecto bastará una comunicación escrita del Ordenador del Gasto de ATENEA y por </w:t>
      </w:r>
      <w:r>
        <w:rPr>
          <w:rFonts w:ascii="Arial" w:hAnsi="Arial" w:cs="Arial"/>
        </w:rPr>
        <w:t>________</w:t>
      </w:r>
      <w:r w:rsidRPr="00E313D1">
        <w:rPr>
          <w:rFonts w:ascii="Arial" w:hAnsi="Arial" w:cs="Arial"/>
        </w:rPr>
        <w:t xml:space="preserve"> donde indique al nuevo</w:t>
      </w:r>
      <w:r>
        <w:rPr>
          <w:rFonts w:ascii="Arial" w:hAnsi="Arial" w:cs="Arial"/>
        </w:rPr>
        <w:t xml:space="preserve"> </w:t>
      </w:r>
      <w:r w:rsidRPr="00E313D1">
        <w:rPr>
          <w:rFonts w:ascii="Arial" w:hAnsi="Arial" w:cs="Arial"/>
        </w:rPr>
        <w:t>supervisor designado, con copia a la Subgerencia de Gestión Administrativa y a la Subgerencia Financiera de la Agencia ATENEA</w:t>
      </w:r>
      <w:r>
        <w:rPr>
          <w:rFonts w:ascii="Arial" w:hAnsi="Arial" w:cs="Arial"/>
        </w:rPr>
        <w:t>.</w:t>
      </w:r>
    </w:p>
    <w:bookmarkEnd w:id="2"/>
    <w:p w14:paraId="2A3FDBBA" w14:textId="77777777" w:rsidR="00E313D1" w:rsidRDefault="00E313D1" w:rsidP="00E313D1">
      <w:pPr>
        <w:spacing w:line="240" w:lineRule="auto"/>
        <w:contextualSpacing/>
        <w:jc w:val="both"/>
        <w:rPr>
          <w:rFonts w:ascii="Arial" w:hAnsi="Arial" w:cs="Arial"/>
        </w:rPr>
      </w:pPr>
    </w:p>
    <w:p w14:paraId="387509BC" w14:textId="36A8DF31" w:rsidR="00E313D1" w:rsidRDefault="00E313D1" w:rsidP="00E313D1">
      <w:pPr>
        <w:pStyle w:val="Prrafodelista"/>
        <w:numPr>
          <w:ilvl w:val="0"/>
          <w:numId w:val="4"/>
        </w:numPr>
        <w:spacing w:line="240" w:lineRule="auto"/>
        <w:ind w:hanging="720"/>
        <w:jc w:val="both"/>
        <w:rPr>
          <w:rFonts w:ascii="Arial" w:hAnsi="Arial" w:cs="Arial"/>
          <w:b/>
          <w:bCs/>
        </w:rPr>
      </w:pPr>
      <w:r w:rsidRPr="00E313D1">
        <w:rPr>
          <w:rFonts w:ascii="Arial" w:hAnsi="Arial" w:cs="Arial"/>
          <w:b/>
          <w:bCs/>
        </w:rPr>
        <w:t>MODALIDAD DE SELECCIÓN DEL CONTRATISTA Y SU JUSTIFICACIÓN INCLUYENDO LOS FUNDAMENTOS JURÍDICOS. (Art. 2.2.1.1.2.1.1 Numeral 3 Decreto 1082 de 2015)</w:t>
      </w:r>
    </w:p>
    <w:p w14:paraId="22AEE00B" w14:textId="77777777" w:rsidR="00160F80" w:rsidRDefault="00160F80" w:rsidP="00160F80">
      <w:pPr>
        <w:pStyle w:val="Prrafodelista"/>
        <w:spacing w:line="240" w:lineRule="auto"/>
        <w:jc w:val="both"/>
        <w:rPr>
          <w:rFonts w:ascii="Arial" w:hAnsi="Arial" w:cs="Arial"/>
          <w:b/>
          <w:bCs/>
        </w:rPr>
      </w:pPr>
    </w:p>
    <w:p w14:paraId="61C8C92F" w14:textId="08419CBC" w:rsidR="00160F80" w:rsidRPr="00160F80" w:rsidRDefault="00E313D1" w:rsidP="00160F80">
      <w:pPr>
        <w:spacing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6.1 </w:t>
      </w:r>
      <w:r w:rsidR="00160F80" w:rsidRPr="00160F80">
        <w:rPr>
          <w:rFonts w:ascii="Arial" w:hAnsi="Arial" w:cs="Arial"/>
          <w:b/>
          <w:bCs/>
        </w:rPr>
        <w:t>MODALIDAD DE SELECCIÓN DEL CONTRATISTA</w:t>
      </w:r>
    </w:p>
    <w:p w14:paraId="0F00AF44" w14:textId="6ADDCF6E" w:rsidR="00160F80" w:rsidRDefault="00160F80" w:rsidP="00160F80">
      <w:pPr>
        <w:spacing w:line="240" w:lineRule="auto"/>
        <w:jc w:val="both"/>
        <w:rPr>
          <w:rFonts w:ascii="Arial" w:hAnsi="Arial" w:cs="Arial"/>
        </w:rPr>
      </w:pPr>
      <w:r w:rsidRPr="00160F80">
        <w:rPr>
          <w:rFonts w:ascii="Arial" w:hAnsi="Arial" w:cs="Arial"/>
        </w:rPr>
        <w:t>Inciso segundo del artículo 355 de Ia Constitución Política de Colombia, y el artículo 95 de la Ley 489 de 1998 y el convenio</w:t>
      </w:r>
      <w:r>
        <w:rPr>
          <w:rFonts w:ascii="Arial" w:hAnsi="Arial" w:cs="Arial"/>
        </w:rPr>
        <w:t xml:space="preserve"> </w:t>
      </w:r>
      <w:r w:rsidRPr="00160F80">
        <w:rPr>
          <w:rFonts w:ascii="Arial" w:hAnsi="Arial" w:cs="Arial"/>
        </w:rPr>
        <w:t>interadministrativo se fundamenta en la siguiente normativa constitucional y legal vigente</w:t>
      </w:r>
      <w:r>
        <w:rPr>
          <w:rFonts w:ascii="Arial" w:hAnsi="Arial" w:cs="Arial"/>
        </w:rPr>
        <w:t>.</w:t>
      </w:r>
    </w:p>
    <w:p w14:paraId="6BB6836B" w14:textId="02A9EEB2" w:rsidR="00160F80" w:rsidRDefault="00160F80" w:rsidP="00160F8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artículo 113 de la Constitución Política establece que “son ramas del poder público </w:t>
      </w:r>
      <w:r w:rsidRPr="00160F80">
        <w:rPr>
          <w:rFonts w:ascii="Arial" w:hAnsi="Arial" w:cs="Arial"/>
        </w:rPr>
        <w:t>a legislativa, la ejecutiva y la judicial. Además</w:t>
      </w:r>
      <w:r>
        <w:rPr>
          <w:rFonts w:ascii="Arial" w:hAnsi="Arial" w:cs="Arial"/>
        </w:rPr>
        <w:t xml:space="preserve"> </w:t>
      </w:r>
      <w:r w:rsidRPr="00160F80">
        <w:rPr>
          <w:rFonts w:ascii="Arial" w:hAnsi="Arial" w:cs="Arial"/>
        </w:rPr>
        <w:t>de los órganos que las integran existen otros, autónomos e independientes, para el cumplimiento de las demás funciones del Estado</w:t>
      </w:r>
      <w:r>
        <w:rPr>
          <w:rFonts w:ascii="Arial" w:hAnsi="Arial" w:cs="Arial"/>
        </w:rPr>
        <w:t>. Los diferentes órganos del estado tienen funciones separadas, pero colaboran armónicamente para la realización de sus fines. Como complemento de lo anterior el artículo 209 de la Carta señala que “ las autoridades administrativas deben coordinar sus actuaciones para el adecuado cumplimiento de los fines del estado.</w:t>
      </w:r>
    </w:p>
    <w:p w14:paraId="1ED4D629" w14:textId="34722DA7" w:rsidR="00160F80" w:rsidRDefault="00160F80" w:rsidP="00160F8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esa misma línea, el posterior artículo 288 que “las competencias atribuidas a los distintos niveles territoriales serán </w:t>
      </w:r>
      <w:r w:rsidRPr="00160F80">
        <w:rPr>
          <w:rFonts w:ascii="Arial" w:hAnsi="Arial" w:cs="Arial"/>
        </w:rPr>
        <w:t>ejercidas conforme a los principios de coordinación, concurrencia, subsidiariedad en los términos que establezca la</w:t>
      </w:r>
      <w:r>
        <w:rPr>
          <w:rFonts w:ascii="Arial" w:hAnsi="Arial" w:cs="Arial"/>
        </w:rPr>
        <w:t xml:space="preserve"> ley.</w:t>
      </w:r>
    </w:p>
    <w:p w14:paraId="240C55E0" w14:textId="1734B0BF" w:rsidR="00160F80" w:rsidRDefault="00160F80" w:rsidP="00160F80">
      <w:pPr>
        <w:spacing w:line="240" w:lineRule="auto"/>
        <w:jc w:val="both"/>
        <w:rPr>
          <w:rFonts w:ascii="Arial" w:hAnsi="Arial" w:cs="Arial"/>
        </w:rPr>
      </w:pPr>
      <w:r w:rsidRPr="00160F80">
        <w:rPr>
          <w:rFonts w:ascii="Arial" w:hAnsi="Arial" w:cs="Arial"/>
        </w:rPr>
        <w:t>En ese orden, la Ley 489 de 1998 por la cual se dictan normas sobre la organización y funcionamiento de las entidades del orden</w:t>
      </w:r>
      <w:r>
        <w:rPr>
          <w:rFonts w:ascii="Arial" w:hAnsi="Arial" w:cs="Arial"/>
        </w:rPr>
        <w:t xml:space="preserve"> </w:t>
      </w:r>
      <w:r w:rsidRPr="00160F80">
        <w:rPr>
          <w:rFonts w:ascii="Arial" w:hAnsi="Arial" w:cs="Arial"/>
        </w:rPr>
        <w:t>nacional, se expiden las disposiciones, principios y reglas generales para el ejercicio de las atribuciones previstas en los numerales</w:t>
      </w:r>
      <w:r>
        <w:rPr>
          <w:rFonts w:ascii="Arial" w:hAnsi="Arial" w:cs="Arial"/>
        </w:rPr>
        <w:t xml:space="preserve"> </w:t>
      </w:r>
      <w:r w:rsidRPr="00160F80">
        <w:rPr>
          <w:rFonts w:ascii="Arial" w:hAnsi="Arial" w:cs="Arial"/>
        </w:rPr>
        <w:t xml:space="preserve">15 y 16 del artículo 189 de la Constitución Política y se dictan otras disposiciones, dispone en su </w:t>
      </w:r>
      <w:r w:rsidRPr="00160F80">
        <w:rPr>
          <w:rFonts w:ascii="Arial" w:hAnsi="Arial" w:cs="Arial"/>
        </w:rPr>
        <w:lastRenderedPageBreak/>
        <w:t>artículo 6º que en virtud del principio</w:t>
      </w:r>
      <w:r>
        <w:rPr>
          <w:rFonts w:ascii="Arial" w:hAnsi="Arial" w:cs="Arial"/>
        </w:rPr>
        <w:t xml:space="preserve"> </w:t>
      </w:r>
      <w:r w:rsidRPr="00160F80">
        <w:rPr>
          <w:rFonts w:ascii="Arial" w:hAnsi="Arial" w:cs="Arial"/>
        </w:rPr>
        <w:t>de coordinación y colaboración, las autoridades deben garantizar la armonía y la colaboración a las demás entidades para facilitar el</w:t>
      </w:r>
      <w:r>
        <w:rPr>
          <w:rFonts w:ascii="Arial" w:hAnsi="Arial" w:cs="Arial"/>
        </w:rPr>
        <w:t xml:space="preserve"> </w:t>
      </w:r>
      <w:r w:rsidRPr="00160F80">
        <w:rPr>
          <w:rFonts w:ascii="Arial" w:hAnsi="Arial" w:cs="Arial"/>
        </w:rPr>
        <w:t>ejercicio de sus funciones.</w:t>
      </w:r>
    </w:p>
    <w:p w14:paraId="09492E5C" w14:textId="4E58C294" w:rsidR="00160F80" w:rsidRDefault="00160F80" w:rsidP="00160F80">
      <w:pPr>
        <w:spacing w:line="240" w:lineRule="auto"/>
        <w:jc w:val="both"/>
        <w:rPr>
          <w:rFonts w:ascii="Arial" w:hAnsi="Arial" w:cs="Arial"/>
        </w:rPr>
      </w:pPr>
      <w:r w:rsidRPr="00160F80">
        <w:rPr>
          <w:rFonts w:ascii="Arial" w:hAnsi="Arial" w:cs="Arial"/>
        </w:rPr>
        <w:t>El artículo 95 de la Ley 489 de 1998, en su primer inciso, autoriza a las entidades públicas su asociación entre sí con el propósito de</w:t>
      </w:r>
      <w:r>
        <w:rPr>
          <w:rFonts w:ascii="Arial" w:hAnsi="Arial" w:cs="Arial"/>
        </w:rPr>
        <w:t xml:space="preserve"> </w:t>
      </w:r>
      <w:r w:rsidRPr="00160F80">
        <w:rPr>
          <w:rFonts w:ascii="Arial" w:hAnsi="Arial" w:cs="Arial"/>
        </w:rPr>
        <w:t>cooperar en el cumplimiento de funciones administrativas o de prestar conjuntamente servicios que se encuentren a su cargo,</w:t>
      </w:r>
      <w:r>
        <w:rPr>
          <w:rFonts w:ascii="Arial" w:hAnsi="Arial" w:cs="Arial"/>
        </w:rPr>
        <w:t xml:space="preserve"> </w:t>
      </w:r>
      <w:r w:rsidRPr="00160F80">
        <w:rPr>
          <w:rFonts w:ascii="Arial" w:hAnsi="Arial" w:cs="Arial"/>
        </w:rPr>
        <w:t>encuentra la Corte que la disposición acusada tiene como soporte constitucional el precepto contenido en el artículo 209, inciso</w:t>
      </w:r>
      <w:r>
        <w:rPr>
          <w:rFonts w:ascii="Arial" w:hAnsi="Arial" w:cs="Arial"/>
        </w:rPr>
        <w:t xml:space="preserve"> </w:t>
      </w:r>
      <w:r w:rsidRPr="00160F80">
        <w:rPr>
          <w:rFonts w:ascii="Arial" w:hAnsi="Arial" w:cs="Arial"/>
        </w:rPr>
        <w:t>segundo de la Carta, que impone como un deber la coordinación de las actuaciones de las autoridades administrativas para el</w:t>
      </w:r>
      <w:r>
        <w:rPr>
          <w:rFonts w:ascii="Arial" w:hAnsi="Arial" w:cs="Arial"/>
        </w:rPr>
        <w:t xml:space="preserve"> cumplimiento de los fines del estado.</w:t>
      </w:r>
    </w:p>
    <w:p w14:paraId="716A9925" w14:textId="4B8CCAF9" w:rsidR="00160F80" w:rsidRDefault="00160F80" w:rsidP="00160F8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Precisamente atendiendo a dicha coordinación, el artículo 95 de esta misma norma estipula que: Las entidades públicas podrán asociarse </w:t>
      </w:r>
      <w:r w:rsidRPr="00160F80">
        <w:rPr>
          <w:rFonts w:ascii="Arial" w:hAnsi="Arial" w:cs="Arial"/>
        </w:rPr>
        <w:t xml:space="preserve">con el fin de cooperar en el cumplimiento de </w:t>
      </w:r>
      <w:r w:rsidR="00FB5407">
        <w:rPr>
          <w:rFonts w:ascii="Arial" w:hAnsi="Arial" w:cs="Arial"/>
        </w:rPr>
        <w:t>–</w:t>
      </w:r>
      <w:r w:rsidRPr="00160F80">
        <w:rPr>
          <w:rFonts w:ascii="Arial" w:hAnsi="Arial" w:cs="Arial"/>
        </w:rPr>
        <w:t>funciones administrativas o de prestar conjuntamente servicios que se hallen</w:t>
      </w:r>
      <w:r>
        <w:rPr>
          <w:rFonts w:ascii="Arial" w:hAnsi="Arial" w:cs="Arial"/>
        </w:rPr>
        <w:t xml:space="preserve"> </w:t>
      </w:r>
      <w:r w:rsidRPr="00160F80">
        <w:rPr>
          <w:rFonts w:ascii="Arial" w:hAnsi="Arial" w:cs="Arial"/>
        </w:rPr>
        <w:t>a su cargo, mediante la celebración de convenios interadministrativos o la conformación de personas jurídicas sin ánimo de</w:t>
      </w:r>
      <w:r>
        <w:rPr>
          <w:rFonts w:ascii="Arial" w:hAnsi="Arial" w:cs="Arial"/>
        </w:rPr>
        <w:t xml:space="preserve"> lucro.</w:t>
      </w:r>
    </w:p>
    <w:p w14:paraId="5E720C8E" w14:textId="1F33FCF3" w:rsidR="00160F80" w:rsidRPr="00160F80" w:rsidRDefault="00160F80" w:rsidP="00160F80">
      <w:pPr>
        <w:spacing w:line="240" w:lineRule="auto"/>
        <w:jc w:val="both"/>
        <w:rPr>
          <w:rFonts w:ascii="Arial" w:hAnsi="Arial" w:cs="Arial"/>
        </w:rPr>
      </w:pPr>
      <w:r w:rsidRPr="00160F80">
        <w:rPr>
          <w:rFonts w:ascii="Arial" w:hAnsi="Arial" w:cs="Arial"/>
        </w:rPr>
        <w:t>En consonancia con lo anterior, el artículo 2.2.1.2.1.4.4 del Decreto 1082 de 2015, que trata de los convenios o contratos</w:t>
      </w:r>
      <w:r>
        <w:rPr>
          <w:rFonts w:ascii="Arial" w:hAnsi="Arial" w:cs="Arial"/>
        </w:rPr>
        <w:t xml:space="preserve"> interadministrativos, establece que: “la modalidad de selección para la contratación entre Entidades Estales es la contrata</w:t>
      </w:r>
      <w:r w:rsidRPr="00160F80">
        <w:rPr>
          <w:rFonts w:ascii="Arial" w:hAnsi="Arial" w:cs="Arial"/>
        </w:rPr>
        <w:t>ción</w:t>
      </w:r>
      <w:r>
        <w:rPr>
          <w:rFonts w:ascii="Arial" w:hAnsi="Arial" w:cs="Arial"/>
        </w:rPr>
        <w:t xml:space="preserve"> </w:t>
      </w:r>
      <w:r w:rsidRPr="00160F80">
        <w:rPr>
          <w:rFonts w:ascii="Arial" w:hAnsi="Arial" w:cs="Arial"/>
        </w:rPr>
        <w:t>directa; y, en consecuencia, le es aplicable lo establecido en el artículo 2.2.1.2.1.4.1 del presente</w:t>
      </w:r>
      <w:r>
        <w:rPr>
          <w:rFonts w:ascii="Arial" w:hAnsi="Arial" w:cs="Arial"/>
        </w:rPr>
        <w:t xml:space="preserve"> decreto.</w:t>
      </w:r>
    </w:p>
    <w:p w14:paraId="0FB9AA08" w14:textId="2AA228FF" w:rsidR="00160F80" w:rsidRDefault="00160F80" w:rsidP="00160F80">
      <w:pPr>
        <w:spacing w:line="240" w:lineRule="auto"/>
        <w:jc w:val="both"/>
        <w:rPr>
          <w:rFonts w:ascii="Arial" w:hAnsi="Arial" w:cs="Arial"/>
        </w:rPr>
      </w:pPr>
      <w:r w:rsidRPr="00160F80">
        <w:rPr>
          <w:rFonts w:ascii="Arial" w:hAnsi="Arial" w:cs="Arial"/>
        </w:rPr>
        <w:t>Además, la entidad estatal ejecutora (operador especializado) posee la capacidad jurídica y financiera, el soporte técnico y operativo</w:t>
      </w:r>
      <w:r>
        <w:rPr>
          <w:rFonts w:ascii="Arial" w:hAnsi="Arial" w:cs="Arial"/>
        </w:rPr>
        <w:t xml:space="preserve"> </w:t>
      </w:r>
      <w:r w:rsidRPr="00160F80">
        <w:rPr>
          <w:rFonts w:ascii="Arial" w:hAnsi="Arial" w:cs="Arial"/>
        </w:rPr>
        <w:t>y la experiencia acreditada para ejecutar el objeto contractual</w:t>
      </w:r>
    </w:p>
    <w:p w14:paraId="2C810DFF" w14:textId="1E442979" w:rsidR="00160F80" w:rsidRPr="00F85FB4" w:rsidRDefault="00160F80" w:rsidP="00160F80">
      <w:pPr>
        <w:spacing w:line="240" w:lineRule="auto"/>
        <w:jc w:val="both"/>
        <w:rPr>
          <w:rFonts w:ascii="Arial" w:hAnsi="Arial" w:cs="Arial"/>
          <w:color w:val="4C94D8" w:themeColor="text2" w:themeTint="80"/>
        </w:rPr>
      </w:pPr>
      <w:r w:rsidRPr="00F85FB4">
        <w:rPr>
          <w:rFonts w:ascii="Arial" w:hAnsi="Arial" w:cs="Arial"/>
          <w:color w:val="4C94D8" w:themeColor="text2" w:themeTint="80"/>
        </w:rPr>
        <w:t xml:space="preserve">Mencionar la naturaleza jurídica y pública de la Entidad, la creación con la que se va a suscribir el convenio, mencionar la experiencia </w:t>
      </w:r>
      <w:r w:rsidR="00E21FC9" w:rsidRPr="00F85FB4">
        <w:rPr>
          <w:rFonts w:ascii="Arial" w:hAnsi="Arial" w:cs="Arial"/>
          <w:color w:val="4C94D8" w:themeColor="text2" w:themeTint="80"/>
        </w:rPr>
        <w:t>de la Entidad y demás argumentos que fundamenten la celebración del convenio interadministrativo.</w:t>
      </w:r>
    </w:p>
    <w:p w14:paraId="375BB31E" w14:textId="77777777" w:rsidR="00E21FC9" w:rsidRDefault="00E21FC9" w:rsidP="00160F80">
      <w:pPr>
        <w:spacing w:line="240" w:lineRule="auto"/>
        <w:jc w:val="both"/>
        <w:rPr>
          <w:rFonts w:ascii="Arial" w:hAnsi="Arial" w:cs="Arial"/>
          <w:color w:val="FF0000"/>
        </w:rPr>
      </w:pPr>
    </w:p>
    <w:p w14:paraId="36AD555F" w14:textId="296DBF8D" w:rsidR="00E21FC9" w:rsidRPr="00160F80" w:rsidRDefault="00E21FC9" w:rsidP="00E21FC9">
      <w:pPr>
        <w:spacing w:line="240" w:lineRule="auto"/>
        <w:jc w:val="both"/>
        <w:rPr>
          <w:rFonts w:ascii="Arial" w:hAnsi="Arial" w:cs="Arial"/>
        </w:rPr>
      </w:pPr>
      <w:r w:rsidRPr="00E21FC9">
        <w:rPr>
          <w:rFonts w:ascii="Arial" w:hAnsi="Arial" w:cs="Arial"/>
        </w:rPr>
        <w:t>En tal virtud, desde el orden legal vigente, la modalidad de contratación directa se encuentra debidamente justificada considerando</w:t>
      </w:r>
      <w:r>
        <w:rPr>
          <w:rFonts w:ascii="Arial" w:hAnsi="Arial" w:cs="Arial"/>
        </w:rPr>
        <w:t xml:space="preserve"> </w:t>
      </w:r>
      <w:r w:rsidRPr="00E21FC9">
        <w:rPr>
          <w:rFonts w:ascii="Arial" w:hAnsi="Arial" w:cs="Arial"/>
        </w:rPr>
        <w:t>que se cumplen en debida forma los supuestos jurídicos que señalan las normas en cita. Además, se cumple el criterio de selección</w:t>
      </w:r>
      <w:r>
        <w:rPr>
          <w:rFonts w:ascii="Arial" w:hAnsi="Arial" w:cs="Arial"/>
        </w:rPr>
        <w:t xml:space="preserve"> </w:t>
      </w:r>
      <w:r w:rsidRPr="00E21FC9">
        <w:rPr>
          <w:rFonts w:ascii="Arial" w:hAnsi="Arial" w:cs="Arial"/>
        </w:rPr>
        <w:t>objetiva en atención a que se surten todos y cada uno de los pasos requeridos para este tipo de contratación. Igualmente se realizó</w:t>
      </w:r>
      <w:r>
        <w:rPr>
          <w:rFonts w:ascii="Arial" w:hAnsi="Arial" w:cs="Arial"/>
        </w:rPr>
        <w:t xml:space="preserve"> </w:t>
      </w:r>
      <w:r w:rsidRPr="00E21FC9">
        <w:rPr>
          <w:rFonts w:ascii="Arial" w:hAnsi="Arial" w:cs="Arial"/>
        </w:rPr>
        <w:t>el estudio de mercado correspondiente a efectos de determinar con elementos objetivos la idoneidad del operador</w:t>
      </w:r>
    </w:p>
    <w:p w14:paraId="52C0B7F9" w14:textId="48351A10" w:rsidR="008F2085" w:rsidRDefault="00E21FC9" w:rsidP="00E21FC9">
      <w:pPr>
        <w:pStyle w:val="Prrafodelista"/>
        <w:numPr>
          <w:ilvl w:val="0"/>
          <w:numId w:val="4"/>
        </w:numPr>
        <w:spacing w:line="240" w:lineRule="auto"/>
        <w:ind w:hanging="720"/>
        <w:jc w:val="both"/>
        <w:rPr>
          <w:rFonts w:ascii="Arial" w:hAnsi="Arial" w:cs="Arial"/>
          <w:b/>
          <w:bCs/>
        </w:rPr>
      </w:pPr>
      <w:r w:rsidRPr="00E21FC9">
        <w:rPr>
          <w:rFonts w:ascii="Arial" w:hAnsi="Arial" w:cs="Arial"/>
          <w:b/>
          <w:bCs/>
        </w:rPr>
        <w:t>PRESUPUESTO OFICIAL ESTIMADO DEL CONVENIO Y SU JUSTIFICACIÓN, APROPIACIÓN PRESUPUESTAL Y LA FORMA DE PAGO</w:t>
      </w:r>
    </w:p>
    <w:p w14:paraId="6018E049" w14:textId="77777777" w:rsidR="00E21FC9" w:rsidRDefault="00E21FC9" w:rsidP="00E21FC9">
      <w:pPr>
        <w:pStyle w:val="Prrafodelista"/>
        <w:spacing w:line="240" w:lineRule="auto"/>
        <w:jc w:val="both"/>
        <w:rPr>
          <w:rFonts w:ascii="Arial" w:hAnsi="Arial" w:cs="Arial"/>
          <w:b/>
          <w:bCs/>
        </w:rPr>
      </w:pPr>
    </w:p>
    <w:p w14:paraId="14EA82EB" w14:textId="05C34F38" w:rsidR="00E21FC9" w:rsidRPr="00E21FC9" w:rsidRDefault="00E21FC9" w:rsidP="00E21FC9">
      <w:pPr>
        <w:pStyle w:val="Prrafodelista"/>
        <w:numPr>
          <w:ilvl w:val="1"/>
          <w:numId w:val="4"/>
        </w:numPr>
        <w:spacing w:line="240" w:lineRule="auto"/>
        <w:ind w:left="709" w:hanging="709"/>
        <w:jc w:val="both"/>
        <w:rPr>
          <w:rFonts w:ascii="Arial" w:hAnsi="Arial" w:cs="Arial"/>
          <w:b/>
          <w:bCs/>
        </w:rPr>
      </w:pPr>
      <w:r w:rsidRPr="00E21FC9">
        <w:rPr>
          <w:rFonts w:ascii="Arial" w:hAnsi="Arial" w:cs="Arial"/>
          <w:b/>
          <w:bCs/>
        </w:rPr>
        <w:lastRenderedPageBreak/>
        <w:t>PRESUPUESTO OFICIAL ESTIMADO DEL CONVENIO Y SU JUSTIFICACIÓN</w:t>
      </w:r>
    </w:p>
    <w:p w14:paraId="0AFA4091" w14:textId="64114494" w:rsidR="00E21FC9" w:rsidRPr="00E21FC9" w:rsidRDefault="00E21FC9" w:rsidP="00E21FC9">
      <w:pPr>
        <w:spacing w:line="240" w:lineRule="auto"/>
        <w:jc w:val="both"/>
        <w:rPr>
          <w:rFonts w:ascii="Arial" w:hAnsi="Arial" w:cs="Arial"/>
        </w:rPr>
      </w:pPr>
      <w:r w:rsidRPr="00E21FC9">
        <w:rPr>
          <w:rFonts w:ascii="Arial" w:hAnsi="Arial" w:cs="Arial"/>
        </w:rPr>
        <w:t>El valor total estimado del convenio es</w:t>
      </w:r>
      <w:r>
        <w:rPr>
          <w:rFonts w:ascii="Arial" w:hAnsi="Arial" w:cs="Arial"/>
        </w:rPr>
        <w:t xml:space="preserve"> de:</w:t>
      </w:r>
      <w:r w:rsidRPr="00E21FC9">
        <w:rPr>
          <w:rFonts w:ascii="Arial" w:hAnsi="Arial" w:cs="Arial"/>
        </w:rPr>
        <w:t xml:space="preserve"> </w:t>
      </w:r>
      <w:r w:rsidRPr="00F85FB4">
        <w:rPr>
          <w:rFonts w:ascii="Arial" w:hAnsi="Arial" w:cs="Arial"/>
          <w:color w:val="4C94D8" w:themeColor="text2" w:themeTint="80"/>
        </w:rPr>
        <w:t xml:space="preserve">describir el valor en letras y en números </w:t>
      </w:r>
      <w:r w:rsidRPr="00E21FC9">
        <w:rPr>
          <w:rFonts w:ascii="Arial" w:hAnsi="Arial" w:cs="Arial"/>
        </w:rPr>
        <w:t>valor que incluye IVA y todos los costos directos e indirectos en que incurra la ejecución</w:t>
      </w:r>
      <w:r>
        <w:rPr>
          <w:rFonts w:ascii="Arial" w:hAnsi="Arial" w:cs="Arial"/>
        </w:rPr>
        <w:t xml:space="preserve"> </w:t>
      </w:r>
      <w:r w:rsidRPr="00E21FC9">
        <w:rPr>
          <w:rFonts w:ascii="Arial" w:hAnsi="Arial" w:cs="Arial"/>
        </w:rPr>
        <w:t>del convenio interadministrativo, así como todos los impuestos, tasas, y demás gravámenes y contribuciones a que haya lugar.</w:t>
      </w:r>
    </w:p>
    <w:p w14:paraId="3D8BAC6E" w14:textId="77777777" w:rsidR="00E21FC9" w:rsidRPr="00E21FC9" w:rsidRDefault="00E21FC9" w:rsidP="00E21FC9">
      <w:pPr>
        <w:spacing w:line="240" w:lineRule="auto"/>
        <w:jc w:val="both"/>
        <w:rPr>
          <w:rFonts w:ascii="Arial" w:hAnsi="Arial" w:cs="Arial"/>
          <w:b/>
          <w:bCs/>
        </w:rPr>
      </w:pPr>
      <w:r w:rsidRPr="00E21FC9">
        <w:rPr>
          <w:rFonts w:ascii="Arial" w:hAnsi="Arial" w:cs="Arial"/>
          <w:b/>
          <w:bCs/>
        </w:rPr>
        <w:t>APORTES DE LAS PARTES:</w:t>
      </w:r>
    </w:p>
    <w:p w14:paraId="3262C2D1" w14:textId="29F21CE6" w:rsidR="00E21FC9" w:rsidRPr="00F85FB4" w:rsidRDefault="00E21FC9" w:rsidP="00E21FC9">
      <w:pPr>
        <w:spacing w:line="240" w:lineRule="auto"/>
        <w:jc w:val="both"/>
        <w:rPr>
          <w:rFonts w:ascii="Arial" w:hAnsi="Arial" w:cs="Arial"/>
          <w:b/>
          <w:bCs/>
          <w:color w:val="4C94D8" w:themeColor="text2" w:themeTint="80"/>
        </w:rPr>
      </w:pPr>
      <w:bookmarkStart w:id="3" w:name="_Hlk190776010"/>
      <w:r w:rsidRPr="00E21FC9">
        <w:rPr>
          <w:rFonts w:ascii="Arial" w:hAnsi="Arial" w:cs="Arial"/>
          <w:b/>
          <w:bCs/>
        </w:rPr>
        <w:t xml:space="preserve">POR PARTE DE ATENEA: </w:t>
      </w:r>
      <w:r w:rsidRPr="00E21FC9">
        <w:rPr>
          <w:rFonts w:ascii="Arial" w:hAnsi="Arial" w:cs="Arial"/>
        </w:rPr>
        <w:t>Aportes e</w:t>
      </w:r>
      <w:r>
        <w:rPr>
          <w:rFonts w:ascii="Arial" w:hAnsi="Arial" w:cs="Arial"/>
        </w:rPr>
        <w:t>s e</w:t>
      </w:r>
      <w:r w:rsidRPr="00E21FC9">
        <w:rPr>
          <w:rFonts w:ascii="Arial" w:hAnsi="Arial" w:cs="Arial"/>
        </w:rPr>
        <w:t xml:space="preserve">n DINERO hasta por la suma de </w:t>
      </w:r>
      <w:r w:rsidRPr="00F85FB4">
        <w:rPr>
          <w:rFonts w:ascii="Arial" w:hAnsi="Arial" w:cs="Arial"/>
          <w:color w:val="4C94D8" w:themeColor="text2" w:themeTint="80"/>
        </w:rPr>
        <w:t>describir el valor en letras y en números</w:t>
      </w:r>
    </w:p>
    <w:p w14:paraId="11D89103" w14:textId="47C3BE9B" w:rsidR="00E21FC9" w:rsidRPr="00E21FC9" w:rsidRDefault="00E21FC9" w:rsidP="00E21FC9">
      <w:pPr>
        <w:spacing w:line="240" w:lineRule="auto"/>
        <w:jc w:val="both"/>
        <w:rPr>
          <w:rFonts w:ascii="Arial" w:hAnsi="Arial" w:cs="Arial"/>
          <w:b/>
          <w:bCs/>
        </w:rPr>
      </w:pPr>
      <w:r w:rsidRPr="00E21FC9">
        <w:rPr>
          <w:rFonts w:ascii="Arial" w:hAnsi="Arial" w:cs="Arial"/>
          <w:b/>
          <w:bCs/>
        </w:rPr>
        <w:t xml:space="preserve">- POR PARTE DE </w:t>
      </w:r>
      <w:r>
        <w:rPr>
          <w:rFonts w:ascii="Arial" w:hAnsi="Arial" w:cs="Arial"/>
          <w:b/>
          <w:bCs/>
        </w:rPr>
        <w:t>___________</w:t>
      </w:r>
      <w:r w:rsidRPr="00E21FC9">
        <w:rPr>
          <w:rFonts w:ascii="Arial" w:hAnsi="Arial" w:cs="Arial"/>
          <w:b/>
          <w:bCs/>
        </w:rPr>
        <w:t>:</w:t>
      </w:r>
    </w:p>
    <w:p w14:paraId="37329898" w14:textId="3D81C2DF" w:rsidR="00E21FC9" w:rsidRPr="00F85FB4" w:rsidRDefault="00E21FC9" w:rsidP="00E21FC9">
      <w:pPr>
        <w:spacing w:line="240" w:lineRule="auto"/>
        <w:jc w:val="both"/>
        <w:rPr>
          <w:rFonts w:ascii="Arial" w:hAnsi="Arial" w:cs="Arial"/>
          <w:b/>
          <w:bCs/>
          <w:color w:val="4C94D8" w:themeColor="text2" w:themeTint="80"/>
        </w:rPr>
      </w:pPr>
      <w:r w:rsidRPr="00E21FC9">
        <w:rPr>
          <w:rFonts w:ascii="Arial" w:hAnsi="Arial" w:cs="Arial"/>
        </w:rPr>
        <w:t>Aportes en ESPECIE</w:t>
      </w:r>
      <w:r w:rsidR="00BD0C43">
        <w:rPr>
          <w:rFonts w:ascii="Arial" w:hAnsi="Arial" w:cs="Arial"/>
        </w:rPr>
        <w:t xml:space="preserve"> </w:t>
      </w:r>
      <w:r w:rsidR="00BD0C43" w:rsidRPr="00F85FB4">
        <w:rPr>
          <w:rFonts w:ascii="Arial" w:hAnsi="Arial" w:cs="Arial"/>
          <w:color w:val="4C94D8" w:themeColor="text2" w:themeTint="80"/>
        </w:rPr>
        <w:t>(en caso que aplique)</w:t>
      </w:r>
      <w:r w:rsidRPr="00F85FB4">
        <w:rPr>
          <w:rFonts w:ascii="Arial" w:hAnsi="Arial" w:cs="Arial"/>
          <w:color w:val="4C94D8" w:themeColor="text2" w:themeTint="80"/>
        </w:rPr>
        <w:t xml:space="preserve"> </w:t>
      </w:r>
      <w:r w:rsidRPr="00E21FC9">
        <w:rPr>
          <w:rFonts w:ascii="Arial" w:hAnsi="Arial" w:cs="Arial"/>
        </w:rPr>
        <w:t xml:space="preserve">cuantificados en la suma de </w:t>
      </w:r>
      <w:r w:rsidRPr="00F85FB4">
        <w:rPr>
          <w:rFonts w:ascii="Arial" w:hAnsi="Arial" w:cs="Arial"/>
          <w:color w:val="4C94D8" w:themeColor="text2" w:themeTint="80"/>
        </w:rPr>
        <w:t>describir el valor en letras y en números</w:t>
      </w:r>
    </w:p>
    <w:p w14:paraId="7D62DFB2" w14:textId="24905DC6" w:rsidR="0041281F" w:rsidRPr="00F85FB4" w:rsidRDefault="00E21FC9" w:rsidP="0041281F">
      <w:pPr>
        <w:spacing w:line="240" w:lineRule="auto"/>
        <w:contextualSpacing/>
        <w:jc w:val="both"/>
        <w:rPr>
          <w:rFonts w:ascii="Arial" w:hAnsi="Arial" w:cs="Arial"/>
          <w:color w:val="4C94D8" w:themeColor="text2" w:themeTint="80"/>
        </w:rPr>
      </w:pPr>
      <w:r w:rsidRPr="00F85FB4">
        <w:rPr>
          <w:rFonts w:ascii="Arial" w:hAnsi="Arial" w:cs="Arial"/>
          <w:color w:val="4C94D8" w:themeColor="text2" w:themeTint="80"/>
        </w:rPr>
        <w:t>Describir los ítems, valores unitarios y demás especificaciones requeridas que justifiquen el valor del convenio</w:t>
      </w:r>
    </w:p>
    <w:bookmarkEnd w:id="3"/>
    <w:p w14:paraId="314EE64A" w14:textId="77777777" w:rsidR="00E21FC9" w:rsidRDefault="00E21FC9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0D363F2E" w14:textId="0FC5A71F" w:rsidR="00E21FC9" w:rsidRDefault="00E21FC9" w:rsidP="0041281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E21FC9">
        <w:rPr>
          <w:rFonts w:ascii="Arial" w:hAnsi="Arial" w:cs="Arial"/>
          <w:b/>
          <w:bCs/>
        </w:rPr>
        <w:t xml:space="preserve">7.2 </w:t>
      </w:r>
      <w:r w:rsidR="00AF1CC5" w:rsidRPr="00E21FC9">
        <w:rPr>
          <w:rFonts w:ascii="Arial" w:hAnsi="Arial" w:cs="Arial"/>
          <w:b/>
          <w:bCs/>
        </w:rPr>
        <w:t xml:space="preserve">FORMA DE DESEMBOLSO DE LOS RECURSOS: </w:t>
      </w:r>
    </w:p>
    <w:p w14:paraId="47019784" w14:textId="77777777" w:rsidR="00E21FC9" w:rsidRDefault="00E21FC9" w:rsidP="0041281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6566B53E" w14:textId="3EF15719" w:rsidR="00E21FC9" w:rsidRPr="00F85FB4" w:rsidRDefault="00E21FC9" w:rsidP="00E21FC9">
      <w:pPr>
        <w:spacing w:line="240" w:lineRule="auto"/>
        <w:contextualSpacing/>
        <w:jc w:val="both"/>
        <w:rPr>
          <w:rFonts w:ascii="Arial" w:hAnsi="Arial" w:cs="Arial"/>
          <w:color w:val="4C94D8" w:themeColor="text2" w:themeTint="80"/>
        </w:rPr>
      </w:pPr>
      <w:bookmarkStart w:id="4" w:name="_Hlk190776086"/>
      <w:r w:rsidRPr="00E21FC9">
        <w:rPr>
          <w:rFonts w:ascii="Arial" w:hAnsi="Arial" w:cs="Arial"/>
        </w:rPr>
        <w:t xml:space="preserve">El valor aportado en dinero por la Agencia Distrital para la Educación Superior, la Ciencia y la Tecnología </w:t>
      </w:r>
      <w:r w:rsidR="00BD0C43" w:rsidRPr="00E21FC9">
        <w:rPr>
          <w:rFonts w:ascii="Arial" w:hAnsi="Arial" w:cs="Arial"/>
        </w:rPr>
        <w:t>Atenea</w:t>
      </w:r>
      <w:r w:rsidRPr="00E21FC9">
        <w:rPr>
          <w:rFonts w:ascii="Arial" w:hAnsi="Arial" w:cs="Arial"/>
        </w:rPr>
        <w:t xml:space="preserve"> será</w:t>
      </w:r>
      <w:r>
        <w:rPr>
          <w:rFonts w:ascii="Arial" w:hAnsi="Arial" w:cs="Arial"/>
        </w:rPr>
        <w:t xml:space="preserve"> </w:t>
      </w:r>
      <w:r w:rsidRPr="00E21FC9">
        <w:rPr>
          <w:rFonts w:ascii="Arial" w:hAnsi="Arial" w:cs="Arial"/>
        </w:rPr>
        <w:t xml:space="preserve">desembolsado a la cuenta </w:t>
      </w:r>
      <w:r w:rsidRPr="00F85FB4">
        <w:rPr>
          <w:rFonts w:ascii="Arial" w:hAnsi="Arial" w:cs="Arial"/>
          <w:color w:val="4C94D8" w:themeColor="text2" w:themeTint="80"/>
        </w:rPr>
        <w:t>indicar la cuenta</w:t>
      </w:r>
      <w:r w:rsidR="00BD0C43" w:rsidRPr="00F85FB4">
        <w:rPr>
          <w:rFonts w:ascii="Arial" w:hAnsi="Arial" w:cs="Arial"/>
          <w:color w:val="4C94D8" w:themeColor="text2" w:themeTint="80"/>
        </w:rPr>
        <w:t xml:space="preserve">, </w:t>
      </w:r>
      <w:r w:rsidRPr="00F85FB4">
        <w:rPr>
          <w:rFonts w:ascii="Arial" w:hAnsi="Arial" w:cs="Arial"/>
          <w:color w:val="4C94D8" w:themeColor="text2" w:themeTint="80"/>
        </w:rPr>
        <w:t>la forma</w:t>
      </w:r>
      <w:r w:rsidR="00BD0C43" w:rsidRPr="00F85FB4">
        <w:rPr>
          <w:rFonts w:ascii="Arial" w:hAnsi="Arial" w:cs="Arial"/>
          <w:color w:val="4C94D8" w:themeColor="text2" w:themeTint="80"/>
        </w:rPr>
        <w:t>, porcentajes, productos y requisitos para que sea</w:t>
      </w:r>
      <w:r w:rsidRPr="00F85FB4">
        <w:rPr>
          <w:rFonts w:ascii="Arial" w:hAnsi="Arial" w:cs="Arial"/>
          <w:color w:val="4C94D8" w:themeColor="text2" w:themeTint="80"/>
        </w:rPr>
        <w:t xml:space="preserve"> desembolsado el valor del convenio o contrato</w:t>
      </w:r>
      <w:r w:rsidR="00BD0C43" w:rsidRPr="00F85FB4">
        <w:rPr>
          <w:rFonts w:ascii="Arial" w:hAnsi="Arial" w:cs="Arial"/>
          <w:color w:val="4C94D8" w:themeColor="text2" w:themeTint="80"/>
        </w:rPr>
        <w:t>.</w:t>
      </w:r>
    </w:p>
    <w:p w14:paraId="6823BA8B" w14:textId="77777777" w:rsidR="00BD0C43" w:rsidRDefault="00BD0C43" w:rsidP="00E21FC9">
      <w:pPr>
        <w:spacing w:line="240" w:lineRule="auto"/>
        <w:contextualSpacing/>
        <w:jc w:val="both"/>
        <w:rPr>
          <w:rFonts w:ascii="Arial" w:hAnsi="Arial" w:cs="Arial"/>
          <w:color w:val="FF0000"/>
        </w:rPr>
      </w:pPr>
    </w:p>
    <w:p w14:paraId="62FB98B8" w14:textId="1F0D49CF" w:rsidR="00BD0C43" w:rsidRP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  <w:r w:rsidRPr="00BD0C43">
        <w:rPr>
          <w:rFonts w:ascii="Arial" w:hAnsi="Arial" w:cs="Arial"/>
        </w:rPr>
        <w:t>Los desembolsos estarán sujetos al Programa Anual Mensualidad de Caja P.A.C. de la Agencia Distrital de Educación Superior, Ciencia y Tecnología y de la Dirección Distrital de Tesorería, sin generar intereses moratorios. A su vez, para cada desembolso. El Asociado o Contratista radicará al supervisor del CONVENIO INTERADMINISTRATIVO la respectiva factura o su documento equivalente junto con los soportes y el supervisor del CONVENIO INTERADMINISTRATIVO.</w:t>
      </w:r>
    </w:p>
    <w:p w14:paraId="1E4FEBA9" w14:textId="77777777" w:rsidR="00BD0C43" w:rsidRP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</w:p>
    <w:p w14:paraId="4193917E" w14:textId="752125D5" w:rsidR="00BD0C43" w:rsidRP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  <w:r w:rsidRPr="00BD0C43">
        <w:rPr>
          <w:rFonts w:ascii="Arial" w:hAnsi="Arial" w:cs="Arial"/>
        </w:rPr>
        <w:t>Los impuestos, tasas y contribuciones que surjan del presente CONVENIO INTERADMINISTRATIVO serán sufragados por el Asociado o Contratista, para cuyos efectos se harán las retenciones del caso y se cumplirán las obligaciones fiscales que ordene la normatividad vigente.</w:t>
      </w:r>
    </w:p>
    <w:p w14:paraId="2C019C18" w14:textId="77777777" w:rsidR="00BD0C43" w:rsidRP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</w:p>
    <w:p w14:paraId="7D610034" w14:textId="35EE8012" w:rsidR="00BD0C43" w:rsidRP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  <w:r w:rsidRPr="00BD0C43">
        <w:rPr>
          <w:rFonts w:ascii="Arial" w:hAnsi="Arial" w:cs="Arial"/>
        </w:rPr>
        <w:t xml:space="preserve">El Asociado o Contratista deberá, al momento del desembolso, diligenciar el formato exigido por la Subgerencia Financiera de la Agencia Distrital para la Educación Superior, la Ciencia y la Tecnología -ATENEA con el fin de proporcionar la información necesaria para la </w:t>
      </w:r>
      <w:r w:rsidRPr="00BD0C43">
        <w:rPr>
          <w:rFonts w:ascii="Arial" w:hAnsi="Arial" w:cs="Arial"/>
        </w:rPr>
        <w:lastRenderedPageBreak/>
        <w:t>realización de los pagos, los cuales se harán por medio del Sistema Automático de Pagos S.A.P.</w:t>
      </w:r>
    </w:p>
    <w:p w14:paraId="2B573665" w14:textId="77777777" w:rsidR="00BD0C43" w:rsidRP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</w:p>
    <w:p w14:paraId="4D81824E" w14:textId="1D44D37E" w:rsidR="00BD0C43" w:rsidRDefault="001F4023" w:rsidP="00BD0C43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Asociado o Contratista </w:t>
      </w:r>
      <w:r w:rsidR="00BD0C43" w:rsidRPr="00BD0C43">
        <w:rPr>
          <w:rFonts w:ascii="Arial" w:hAnsi="Arial" w:cs="Arial"/>
        </w:rPr>
        <w:t>deberá cumplir con todos y cada uno de los aspectos señalados en el procedimiento, implementado mediante la Resolución 001 del 30 de septiembre de 2019, expedida por la Secretaría Distrital de Hacienda, o la que se encuentre vigente, en caso de que aplique.</w:t>
      </w:r>
    </w:p>
    <w:p w14:paraId="4B728E33" w14:textId="77777777" w:rsid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</w:p>
    <w:p w14:paraId="3C16E232" w14:textId="012809F5" w:rsid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  <w:r w:rsidRPr="00BD0C43">
        <w:rPr>
          <w:rFonts w:ascii="Arial" w:hAnsi="Arial" w:cs="Arial"/>
        </w:rPr>
        <w:t>A la factura correspondiente, se deberá anexar la certificación del cumplimiento del pago al Sistema General de Seguridad Social</w:t>
      </w:r>
      <w:r>
        <w:rPr>
          <w:rFonts w:ascii="Arial" w:hAnsi="Arial" w:cs="Arial"/>
        </w:rPr>
        <w:t xml:space="preserve"> </w:t>
      </w:r>
      <w:r w:rsidRPr="00BD0C43">
        <w:rPr>
          <w:rFonts w:ascii="Arial" w:hAnsi="Arial" w:cs="Arial"/>
        </w:rPr>
        <w:t>(Pensión, Salud y Riesgos Profesionales) y Parafiscales (SENA, Caja de Compensación Familiar e ICBF) y Salarios y demás</w:t>
      </w:r>
      <w:r>
        <w:rPr>
          <w:rFonts w:ascii="Arial" w:hAnsi="Arial" w:cs="Arial"/>
        </w:rPr>
        <w:t xml:space="preserve"> </w:t>
      </w:r>
      <w:r w:rsidRPr="00BD0C43">
        <w:rPr>
          <w:rFonts w:ascii="Arial" w:hAnsi="Arial" w:cs="Arial"/>
        </w:rPr>
        <w:t>prestaciones sociales que tenga a cargo el contratista; así como los impuestos a que haya lugar y que aplique</w:t>
      </w:r>
    </w:p>
    <w:p w14:paraId="7D64B010" w14:textId="77777777" w:rsid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</w:p>
    <w:p w14:paraId="2A527769" w14:textId="6A6EAE8C" w:rsidR="00BD0C43" w:rsidRP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  <w:r w:rsidRPr="00BD0C43">
        <w:rPr>
          <w:rFonts w:ascii="Arial" w:hAnsi="Arial" w:cs="Arial"/>
        </w:rPr>
        <w:t>Para la realización de los pagos se deben acompañar los demás documentos exigidos por las normas administrativas y fiscales. El</w:t>
      </w:r>
      <w:r>
        <w:rPr>
          <w:rFonts w:ascii="Arial" w:hAnsi="Arial" w:cs="Arial"/>
        </w:rPr>
        <w:t xml:space="preserve"> </w:t>
      </w:r>
      <w:r w:rsidRPr="00BD0C43">
        <w:rPr>
          <w:rFonts w:ascii="Arial" w:hAnsi="Arial" w:cs="Arial"/>
        </w:rPr>
        <w:t xml:space="preserve">pago se efectuará mediante abono por Terminal vía ACH, para lo cual </w:t>
      </w:r>
      <w:r>
        <w:rPr>
          <w:rFonts w:ascii="Arial" w:hAnsi="Arial" w:cs="Arial"/>
        </w:rPr>
        <w:t>el Asociado o contratista</w:t>
      </w:r>
      <w:r w:rsidRPr="00BD0C43">
        <w:rPr>
          <w:rFonts w:ascii="Arial" w:hAnsi="Arial" w:cs="Arial"/>
        </w:rPr>
        <w:t xml:space="preserve"> deberá presentar certificado expedido por el</w:t>
      </w:r>
    </w:p>
    <w:p w14:paraId="18A64136" w14:textId="0632C1E0" w:rsid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  <w:r w:rsidRPr="00BD0C43">
        <w:rPr>
          <w:rFonts w:ascii="Arial" w:hAnsi="Arial" w:cs="Arial"/>
        </w:rPr>
        <w:t>banco en el que conste número de la cuenta bancaria, tipo de cuenta, sucursal del banco y nombre de la cuenta e identificación de</w:t>
      </w:r>
      <w:r>
        <w:rPr>
          <w:rFonts w:ascii="Arial" w:hAnsi="Arial" w:cs="Arial"/>
        </w:rPr>
        <w:t xml:space="preserve"> </w:t>
      </w:r>
      <w:r w:rsidRPr="00BD0C43">
        <w:rPr>
          <w:rFonts w:ascii="Arial" w:hAnsi="Arial" w:cs="Arial"/>
        </w:rPr>
        <w:t>la misma, ya sea persona natural o jurídica, a la Agencia ATENEA una vez firmado el convenio interadministrativo.</w:t>
      </w:r>
    </w:p>
    <w:p w14:paraId="2E9B97AC" w14:textId="77777777" w:rsidR="00BD0C43" w:rsidRP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</w:p>
    <w:p w14:paraId="5390E025" w14:textId="1A3BBB4F" w:rsid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  <w:r w:rsidRPr="00BD0C43">
        <w:rPr>
          <w:rFonts w:ascii="Arial" w:hAnsi="Arial" w:cs="Arial"/>
        </w:rPr>
        <w:t xml:space="preserve">El aporte en especie </w:t>
      </w:r>
      <w:r w:rsidRPr="00F85FB4">
        <w:rPr>
          <w:rFonts w:ascii="Arial" w:hAnsi="Arial" w:cs="Arial"/>
          <w:color w:val="4C94D8" w:themeColor="text2" w:themeTint="80"/>
        </w:rPr>
        <w:t>(si aplica)</w:t>
      </w:r>
      <w:r w:rsidRPr="00BD0C43">
        <w:rPr>
          <w:rFonts w:ascii="Arial" w:hAnsi="Arial" w:cs="Arial"/>
          <w:color w:val="FF0000"/>
        </w:rPr>
        <w:t xml:space="preserve"> </w:t>
      </w:r>
      <w:r w:rsidRPr="00BD0C4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Asociado </w:t>
      </w:r>
      <w:r w:rsidRPr="00BD0C43">
        <w:rPr>
          <w:rFonts w:ascii="Arial" w:hAnsi="Arial" w:cs="Arial"/>
        </w:rPr>
        <w:t>será entregado conforme a lo establecido en la propuesta,</w:t>
      </w:r>
      <w:r>
        <w:rPr>
          <w:rFonts w:ascii="Arial" w:hAnsi="Arial" w:cs="Arial"/>
        </w:rPr>
        <w:t xml:space="preserve"> </w:t>
      </w:r>
      <w:r w:rsidRPr="00BD0C43">
        <w:rPr>
          <w:rFonts w:ascii="Arial" w:hAnsi="Arial" w:cs="Arial"/>
        </w:rPr>
        <w:t>la cual se discriminó en el numeral anterior.</w:t>
      </w:r>
    </w:p>
    <w:bookmarkEnd w:id="4"/>
    <w:p w14:paraId="511AA63D" w14:textId="77777777" w:rsidR="00BD0C43" w:rsidRDefault="00BD0C43" w:rsidP="00BD0C43">
      <w:pPr>
        <w:spacing w:line="240" w:lineRule="auto"/>
        <w:contextualSpacing/>
        <w:jc w:val="both"/>
        <w:rPr>
          <w:rFonts w:ascii="Arial" w:hAnsi="Arial" w:cs="Arial"/>
        </w:rPr>
      </w:pPr>
    </w:p>
    <w:p w14:paraId="6CA55D33" w14:textId="51995944" w:rsidR="00BD0C43" w:rsidRPr="00BD0C43" w:rsidRDefault="00BD0C43" w:rsidP="00BD0C4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D0C43">
        <w:rPr>
          <w:rFonts w:ascii="Arial" w:hAnsi="Arial" w:cs="Arial"/>
          <w:b/>
          <w:bCs/>
        </w:rPr>
        <w:t>ANÁLISIS DE MERCADO QUE SOPORTA EL PRESUPUESTO ESTIMADO DEL CONVENIO</w:t>
      </w:r>
    </w:p>
    <w:p w14:paraId="496C149F" w14:textId="77777777" w:rsidR="00E21FC9" w:rsidRPr="00BD0C43" w:rsidRDefault="00E21FC9" w:rsidP="0041281F">
      <w:pPr>
        <w:spacing w:line="240" w:lineRule="auto"/>
        <w:contextualSpacing/>
        <w:jc w:val="both"/>
        <w:rPr>
          <w:rFonts w:ascii="Arial" w:hAnsi="Arial" w:cs="Arial"/>
          <w:color w:val="FF0000"/>
        </w:rPr>
      </w:pPr>
    </w:p>
    <w:p w14:paraId="2AD3F31F" w14:textId="71DC2058" w:rsidR="00BD0C43" w:rsidRPr="00F85FB4" w:rsidRDefault="00BD0C43" w:rsidP="00BD0C43">
      <w:pPr>
        <w:spacing w:line="240" w:lineRule="auto"/>
        <w:contextualSpacing/>
        <w:jc w:val="both"/>
        <w:rPr>
          <w:rFonts w:ascii="Arial" w:hAnsi="Arial" w:cs="Arial"/>
          <w:color w:val="4C94D8" w:themeColor="text2" w:themeTint="80"/>
        </w:rPr>
      </w:pPr>
      <w:r w:rsidRPr="00F85FB4">
        <w:rPr>
          <w:rFonts w:ascii="Arial" w:hAnsi="Arial" w:cs="Arial"/>
          <w:color w:val="4C94D8" w:themeColor="text2" w:themeTint="80"/>
        </w:rPr>
        <w:t>Describir el estudio de mercado que se realizó para determinar el valor del convenio o contrato. Si se realizó en documento aparte, justifica e incluirlo como anexo a este estudio previo.</w:t>
      </w:r>
    </w:p>
    <w:p w14:paraId="6F8CD6D5" w14:textId="77777777" w:rsidR="00BD0C43" w:rsidRDefault="00BD0C43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1C2F8792" w14:textId="43C61F3F" w:rsidR="00BD0C43" w:rsidRDefault="00C46A6C" w:rsidP="00BD0C43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</w:rPr>
      </w:pPr>
      <w:r w:rsidRPr="00C46A6C">
        <w:rPr>
          <w:rFonts w:ascii="Arial" w:hAnsi="Arial" w:cs="Arial"/>
          <w:b/>
          <w:bCs/>
        </w:rPr>
        <w:t>ANÁLISIS DE RIESGOS Y FORMA DE MITIGARLOS (Art. 2.2.1.1.2.1.1 Numeral 6 Decreto 1082 de 2015)</w:t>
      </w:r>
    </w:p>
    <w:p w14:paraId="4A271F39" w14:textId="2802F94F" w:rsid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A6C">
        <w:rPr>
          <w:rFonts w:ascii="Arial" w:hAnsi="Arial" w:cs="Arial"/>
        </w:rPr>
        <w:t>Los riesgos que puedan presentarse durante la suscripción y ejecución del convenio para el cumplimiento y objetivos del mismo se identifican, clasifican, evalúan, asignan y tratan según lo estipulado en la MATRIZ DE RIESGOS anexo al presente estudio previo</w:t>
      </w:r>
      <w:r>
        <w:rPr>
          <w:rFonts w:ascii="Arial" w:hAnsi="Arial" w:cs="Arial"/>
        </w:rPr>
        <w:t>.</w:t>
      </w:r>
    </w:p>
    <w:p w14:paraId="7DAF2FF8" w14:textId="77777777" w:rsid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17466F" w14:textId="3E59504B" w:rsidR="00C46A6C" w:rsidRDefault="00C46A6C" w:rsidP="00C46A6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46A6C">
        <w:rPr>
          <w:rFonts w:ascii="Arial" w:hAnsi="Arial" w:cs="Arial"/>
          <w:b/>
          <w:bCs/>
        </w:rPr>
        <w:lastRenderedPageBreak/>
        <w:t>GARANTÍAS QUE LA ENTIDAD ESTATAL CONTEMPLA EXIGIR EN EL PROCESO DE CONTRATACIÓN (Art. 2.2.1.1.2.1.1 Numeral 7 Decreto 1082 de 2015)</w:t>
      </w:r>
    </w:p>
    <w:p w14:paraId="63FC8092" w14:textId="77777777" w:rsid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98F9DE1" w14:textId="761453C0" w:rsidR="00C46A6C" w:rsidRPr="00F85FB4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C94D8" w:themeColor="text2" w:themeTint="80"/>
        </w:rPr>
      </w:pPr>
      <w:r w:rsidRPr="00F85FB4">
        <w:rPr>
          <w:rFonts w:ascii="Arial" w:hAnsi="Arial" w:cs="Arial"/>
          <w:color w:val="4C94D8" w:themeColor="text2" w:themeTint="80"/>
        </w:rPr>
        <w:t>En caso de que se acuerde no solicitar garantías se puede utilizar el siguiente argumento:</w:t>
      </w:r>
    </w:p>
    <w:p w14:paraId="1927D247" w14:textId="77777777" w:rsidR="00C46A6C" w:rsidRP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7EA954F8" w14:textId="0B64153E" w:rsid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A6C">
        <w:rPr>
          <w:rFonts w:ascii="Arial" w:hAnsi="Arial" w:cs="Arial"/>
        </w:rPr>
        <w:t>De conformidad con el presente estudio previo y demás documentos previos, y en atención al tipo de convenio, esto es, un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interadministrativo, así como, el objeto, la cuantía del convenio, circunscrito a la modalidad de contratación directa, se configuran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herramientas adecuadas de seguimiento y control para la eficaz ejecución del mismo, las partes intervinientes designarán el equipo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de trabajo que será el enlace y/o contacto permanente para la ejecución de las diferentes actividades del convenio</w:t>
      </w:r>
      <w:r>
        <w:rPr>
          <w:rFonts w:ascii="Arial" w:hAnsi="Arial" w:cs="Arial"/>
        </w:rPr>
        <w:t xml:space="preserve">. </w:t>
      </w:r>
    </w:p>
    <w:p w14:paraId="3AA22DBE" w14:textId="77777777" w:rsid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F942CC" w14:textId="19CB9E58" w:rsidR="00C46A6C" w:rsidRP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F85FB4">
        <w:rPr>
          <w:rFonts w:ascii="Arial" w:hAnsi="Arial" w:cs="Arial"/>
          <w:color w:val="4C94D8" w:themeColor="text2" w:themeTint="80"/>
        </w:rPr>
        <w:t>Describir la forma de control que se establecerá en la ejecución del convenio</w:t>
      </w:r>
      <w:r w:rsidRPr="00C46A6C">
        <w:rPr>
          <w:rFonts w:ascii="Arial" w:hAnsi="Arial" w:cs="Arial"/>
          <w:color w:val="FF0000"/>
        </w:rPr>
        <w:t>.</w:t>
      </w:r>
    </w:p>
    <w:p w14:paraId="4479CC88" w14:textId="77777777" w:rsid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6E02C4D" w14:textId="16023ECD" w:rsid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A6C">
        <w:rPr>
          <w:rFonts w:ascii="Arial" w:hAnsi="Arial" w:cs="Arial"/>
        </w:rPr>
        <w:t>Además, se tiene previsto desde el inicio del convenio y hasta la liquidación, adelantar los procesos de verificación de los informes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financieros y/o contables, que den cuenta del correcto manejo, uso, destinación, inversión y soportes de los recursos aportados por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Atenea y participar en las reuniones o comités técnicos que sean necesarios con ocasión de la correcta ejecución del convenio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interadministrativo</w:t>
      </w:r>
      <w:r>
        <w:rPr>
          <w:rFonts w:ascii="Arial" w:hAnsi="Arial" w:cs="Arial"/>
        </w:rPr>
        <w:t>.</w:t>
      </w:r>
    </w:p>
    <w:p w14:paraId="211C1E04" w14:textId="77777777" w:rsid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699069" w14:textId="63F66EC0" w:rsid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A6C">
        <w:rPr>
          <w:rFonts w:ascii="Arial" w:hAnsi="Arial" w:cs="Arial"/>
        </w:rPr>
        <w:t>Igualmente, la entidad estatal ejecutora posee la capacidad jurídica, financiera, el soporte técnico y operativo y la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experiencia acreditada para ejecutar el objeto del presente convenio interadministrativo.</w:t>
      </w:r>
    </w:p>
    <w:p w14:paraId="250A2DF8" w14:textId="77777777" w:rsid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063A619" w14:textId="01CF5E5F" w:rsid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46A6C">
        <w:rPr>
          <w:rFonts w:ascii="Arial" w:hAnsi="Arial" w:cs="Arial"/>
        </w:rPr>
        <w:t>Teniendo en cuenta los argumentos anteriormente mencionados y de acuerdo a la naturaleza de las partes, la experiencia en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 xml:space="preserve">convenios y convenios similares que ha ejecutado a satisfacción </w:t>
      </w:r>
      <w:r>
        <w:rPr>
          <w:rFonts w:ascii="Arial" w:hAnsi="Arial" w:cs="Arial"/>
        </w:rPr>
        <w:t>el Asociado o Contratista</w:t>
      </w:r>
      <w:r w:rsidRPr="00C46A6C">
        <w:rPr>
          <w:rFonts w:ascii="Arial" w:hAnsi="Arial" w:cs="Arial"/>
        </w:rPr>
        <w:t xml:space="preserve"> con otras entidades públicas, así como, atendiendo al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esquema establecido para la verificación de cumplimiento de las obligaciones del convenio, no se solicita la constitución de garantías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respecto del presente convenio interadministrativo. Vale la pena destacar que el artículo 7 de la Ley 1150 de 2007 y reglamentado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por el artículo 2.2.1.2.1.4.5 del Decreto Nacional 1082 de 2015, prevén esta posibilidad de no solicitar garantías en convenios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interadministrativos.</w:t>
      </w:r>
    </w:p>
    <w:p w14:paraId="4CB08E3D" w14:textId="77777777" w:rsidR="00C46A6C" w:rsidRDefault="00C46A6C" w:rsidP="00C46A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B7FB3C" w14:textId="1E82CDEF" w:rsidR="00C46A6C" w:rsidRPr="00C46A6C" w:rsidRDefault="00C46A6C" w:rsidP="00C46A6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46A6C">
        <w:rPr>
          <w:rFonts w:ascii="Arial" w:hAnsi="Arial" w:cs="Arial"/>
          <w:b/>
          <w:bCs/>
        </w:rPr>
        <w:t>ACUERDOS COMERCIALES</w:t>
      </w:r>
    </w:p>
    <w:p w14:paraId="0A59747B" w14:textId="77777777" w:rsidR="00BD0C43" w:rsidRDefault="00BD0C43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4A80491C" w14:textId="62AA1D53" w:rsidR="00C46A6C" w:rsidRDefault="00C46A6C" w:rsidP="00C46A6C">
      <w:pPr>
        <w:spacing w:line="240" w:lineRule="auto"/>
        <w:contextualSpacing/>
        <w:jc w:val="both"/>
        <w:rPr>
          <w:rFonts w:ascii="Arial" w:hAnsi="Arial" w:cs="Arial"/>
        </w:rPr>
      </w:pPr>
      <w:r w:rsidRPr="00C46A6C">
        <w:rPr>
          <w:rFonts w:ascii="Arial" w:hAnsi="Arial" w:cs="Arial"/>
        </w:rPr>
        <w:t>De conformidad con lo establecido en el Manual para el manejo de los Acuerdos Comerciales en Procesos de Contratación versión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CCE-EICP-MA-03 Entidades Estatales que adelanten sus Procesos de Contratación bajo el régimen del Estatuto General de la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 xml:space="preserve">Administración Pública, no deben hacer este análisis en las modalidades de selección de </w:t>
      </w:r>
      <w:r w:rsidRPr="00C46A6C">
        <w:rPr>
          <w:rFonts w:ascii="Arial" w:hAnsi="Arial" w:cs="Arial"/>
        </w:rPr>
        <w:lastRenderedPageBreak/>
        <w:t>contratación directa o para la enajenación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de bienes del Estado. Esto por cuanto, en el caso de la contratación directa, al no existir una pluralidad de oferentes no hay necesidad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de analizar si un Acuerdo Comercial aplica o no, pues en estos procesos de contratación no se otorga el puntaje de la Ley 816 de</w:t>
      </w:r>
      <w:r>
        <w:rPr>
          <w:rFonts w:ascii="Arial" w:hAnsi="Arial" w:cs="Arial"/>
        </w:rPr>
        <w:t xml:space="preserve"> </w:t>
      </w:r>
      <w:r w:rsidRPr="00C46A6C">
        <w:rPr>
          <w:rFonts w:ascii="Arial" w:hAnsi="Arial" w:cs="Arial"/>
        </w:rPr>
        <w:t>2003 ni se aplican los factores de desempate de la Ley 2069 de</w:t>
      </w:r>
      <w:r>
        <w:rPr>
          <w:rFonts w:ascii="Arial" w:hAnsi="Arial" w:cs="Arial"/>
        </w:rPr>
        <w:t xml:space="preserve"> 2020.</w:t>
      </w:r>
    </w:p>
    <w:p w14:paraId="256DFD33" w14:textId="77777777" w:rsidR="00C46A6C" w:rsidRPr="0041281F" w:rsidRDefault="00C46A6C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225A242A" w14:textId="77777777" w:rsidR="0041281F" w:rsidRPr="0041281F" w:rsidRDefault="0041281F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772A1C06" w14:textId="77777777" w:rsidR="0041281F" w:rsidRPr="0041281F" w:rsidRDefault="0041281F" w:rsidP="0041281F">
      <w:pPr>
        <w:spacing w:line="240" w:lineRule="auto"/>
        <w:contextualSpacing/>
        <w:jc w:val="both"/>
        <w:rPr>
          <w:rFonts w:ascii="Arial" w:hAnsi="Arial" w:cs="Arial"/>
        </w:rPr>
      </w:pPr>
      <w:r w:rsidRPr="0041281F">
        <w:rPr>
          <w:rFonts w:ascii="Arial" w:hAnsi="Arial" w:cs="Arial"/>
        </w:rPr>
        <w:t xml:space="preserve">Firmas Autorizadas: </w:t>
      </w:r>
    </w:p>
    <w:p w14:paraId="2581F7EF" w14:textId="77777777" w:rsidR="0041281F" w:rsidRPr="0041281F" w:rsidRDefault="0041281F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06115914" w14:textId="77777777" w:rsidR="0041281F" w:rsidRPr="0041281F" w:rsidRDefault="0041281F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3F2C63B8" w14:textId="77777777" w:rsidR="0041281F" w:rsidRPr="0041281F" w:rsidRDefault="0041281F" w:rsidP="0041281F">
      <w:pPr>
        <w:spacing w:line="240" w:lineRule="auto"/>
        <w:contextualSpacing/>
        <w:jc w:val="both"/>
        <w:rPr>
          <w:rFonts w:ascii="Arial" w:hAnsi="Arial" w:cs="Arial"/>
        </w:rPr>
      </w:pPr>
      <w:r w:rsidRPr="0041281F">
        <w:rPr>
          <w:rFonts w:ascii="Arial" w:hAnsi="Arial" w:cs="Arial"/>
        </w:rPr>
        <w:t>____________________________________</w:t>
      </w:r>
    </w:p>
    <w:p w14:paraId="6EB01449" w14:textId="2FF13FEE" w:rsidR="00E71DD2" w:rsidRPr="00F85FB4" w:rsidRDefault="00E71DD2" w:rsidP="0041281F">
      <w:pPr>
        <w:spacing w:line="240" w:lineRule="auto"/>
        <w:contextualSpacing/>
        <w:jc w:val="both"/>
        <w:rPr>
          <w:rFonts w:ascii="Arial" w:hAnsi="Arial" w:cs="Arial"/>
          <w:color w:val="4C94D8" w:themeColor="text2" w:themeTint="80"/>
        </w:rPr>
      </w:pPr>
      <w:r w:rsidRPr="00F85FB4">
        <w:rPr>
          <w:rFonts w:ascii="Arial" w:hAnsi="Arial" w:cs="Arial"/>
        </w:rPr>
        <w:t>Nombre</w:t>
      </w:r>
      <w:r w:rsidR="00C46A6C" w:rsidRPr="00F85FB4">
        <w:rPr>
          <w:rFonts w:ascii="Arial" w:hAnsi="Arial" w:cs="Arial"/>
        </w:rPr>
        <w:t>:</w:t>
      </w:r>
      <w:r w:rsidRPr="00F85FB4">
        <w:rPr>
          <w:rFonts w:ascii="Arial" w:hAnsi="Arial" w:cs="Arial"/>
        </w:rPr>
        <w:t xml:space="preserve"> </w:t>
      </w:r>
      <w:r w:rsidR="001F4023" w:rsidRPr="00F85FB4">
        <w:rPr>
          <w:rFonts w:ascii="Arial" w:hAnsi="Arial" w:cs="Arial"/>
          <w:color w:val="4C94D8" w:themeColor="text2" w:themeTint="80"/>
        </w:rPr>
        <w:t>J</w:t>
      </w:r>
      <w:r w:rsidRPr="00F85FB4">
        <w:rPr>
          <w:rFonts w:ascii="Arial" w:hAnsi="Arial" w:cs="Arial"/>
          <w:color w:val="4C94D8" w:themeColor="text2" w:themeTint="80"/>
        </w:rPr>
        <w:t>efe de la dependencia donde se origina la necesidad</w:t>
      </w:r>
    </w:p>
    <w:p w14:paraId="7B0244D0" w14:textId="3F09DDFC" w:rsidR="00E71DD2" w:rsidRPr="00F85FB4" w:rsidRDefault="00E71DD2" w:rsidP="0041281F">
      <w:pPr>
        <w:spacing w:line="240" w:lineRule="auto"/>
        <w:contextualSpacing/>
        <w:jc w:val="both"/>
        <w:rPr>
          <w:rFonts w:ascii="Arial" w:hAnsi="Arial" w:cs="Arial"/>
        </w:rPr>
      </w:pPr>
      <w:r w:rsidRPr="00F85FB4">
        <w:rPr>
          <w:rFonts w:ascii="Arial" w:hAnsi="Arial" w:cs="Arial"/>
        </w:rPr>
        <w:t>Cargo</w:t>
      </w:r>
      <w:r w:rsidR="00C46A6C" w:rsidRPr="00F85FB4">
        <w:rPr>
          <w:rFonts w:ascii="Arial" w:hAnsi="Arial" w:cs="Arial"/>
        </w:rPr>
        <w:t>:</w:t>
      </w:r>
    </w:p>
    <w:p w14:paraId="0290031C" w14:textId="039B61C4" w:rsidR="0041281F" w:rsidRPr="0041281F" w:rsidRDefault="0041281F" w:rsidP="0041281F">
      <w:pPr>
        <w:spacing w:line="240" w:lineRule="auto"/>
        <w:contextualSpacing/>
        <w:jc w:val="both"/>
        <w:rPr>
          <w:rFonts w:ascii="Arial" w:hAnsi="Arial" w:cs="Arial"/>
        </w:rPr>
      </w:pPr>
      <w:r w:rsidRPr="0041281F">
        <w:rPr>
          <w:rFonts w:ascii="Arial" w:hAnsi="Arial" w:cs="Arial"/>
        </w:rPr>
        <w:t>Agencia Distrital para la Educación Superior, la Ciencia y la Tecnología-ATENEA</w:t>
      </w:r>
    </w:p>
    <w:p w14:paraId="69D3FBE5" w14:textId="77777777" w:rsidR="0041281F" w:rsidRDefault="0041281F" w:rsidP="0041281F">
      <w:pPr>
        <w:spacing w:line="240" w:lineRule="auto"/>
        <w:contextualSpacing/>
        <w:jc w:val="both"/>
        <w:rPr>
          <w:rFonts w:ascii="Arial" w:hAnsi="Arial" w:cs="Arial"/>
        </w:rPr>
      </w:pPr>
    </w:p>
    <w:p w14:paraId="31806397" w14:textId="2ABE14FB" w:rsidR="00E71DD2" w:rsidRPr="006671EB" w:rsidRDefault="00E71DD2" w:rsidP="0041281F">
      <w:pPr>
        <w:spacing w:line="240" w:lineRule="auto"/>
        <w:contextualSpacing/>
        <w:jc w:val="both"/>
        <w:rPr>
          <w:rFonts w:ascii="Arial" w:hAnsi="Arial" w:cs="Arial"/>
        </w:rPr>
      </w:pPr>
      <w:r w:rsidRPr="006671EB">
        <w:rPr>
          <w:rFonts w:ascii="Arial" w:hAnsi="Arial" w:cs="Arial"/>
        </w:rPr>
        <w:t>Elaboró:</w:t>
      </w:r>
    </w:p>
    <w:p w14:paraId="45AD994A" w14:textId="2BE4E05C" w:rsidR="00E71DD2" w:rsidRPr="006671EB" w:rsidRDefault="00E71DD2" w:rsidP="0041281F">
      <w:pPr>
        <w:spacing w:line="240" w:lineRule="auto"/>
        <w:contextualSpacing/>
        <w:jc w:val="both"/>
        <w:rPr>
          <w:rFonts w:ascii="Arial" w:hAnsi="Arial" w:cs="Arial"/>
        </w:rPr>
      </w:pPr>
      <w:r w:rsidRPr="006671EB">
        <w:rPr>
          <w:rFonts w:ascii="Arial" w:hAnsi="Arial" w:cs="Arial"/>
        </w:rPr>
        <w:t>Revisó:</w:t>
      </w:r>
    </w:p>
    <w:sectPr w:rsidR="00E71DD2" w:rsidRPr="006671EB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5CF86" w14:textId="77777777" w:rsidR="00142A85" w:rsidRDefault="00142A85" w:rsidP="0041281F">
      <w:pPr>
        <w:spacing w:after="0" w:line="240" w:lineRule="auto"/>
      </w:pPr>
      <w:r>
        <w:separator/>
      </w:r>
    </w:p>
  </w:endnote>
  <w:endnote w:type="continuationSeparator" w:id="0">
    <w:p w14:paraId="0D24249F" w14:textId="77777777" w:rsidR="00142A85" w:rsidRDefault="00142A85" w:rsidP="0041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788814342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6"/>
      </w:rPr>
    </w:sdtEndPr>
    <w:sdtContent>
      <w:p w14:paraId="385562B3" w14:textId="3CB5C37F" w:rsidR="00D92197" w:rsidRPr="00D26632" w:rsidRDefault="00E4380A" w:rsidP="00D92197">
        <w:pPr>
          <w:pStyle w:val="Piedepgina"/>
          <w:jc w:val="right"/>
          <w:rPr>
            <w:rFonts w:ascii="Arial" w:hAnsi="Arial" w:cs="Arial"/>
            <w:sz w:val="14"/>
            <w:szCs w:val="16"/>
          </w:rPr>
        </w:pPr>
        <w:r>
          <w:rPr>
            <w:noProof/>
            <w:lang w:val="en-US"/>
          </w:rPr>
          <w:drawing>
            <wp:inline distT="0" distB="0" distL="0" distR="0" wp14:anchorId="5ECECA14" wp14:editId="17B65678">
              <wp:extent cx="5612130" cy="837565"/>
              <wp:effectExtent l="0" t="0" r="7620" b="635"/>
              <wp:docPr id="1507739473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2130" cy="8375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D92197" w:rsidRPr="00D26632">
          <w:rPr>
            <w:rFonts w:ascii="Arial" w:hAnsi="Arial" w:cs="Arial"/>
            <w:sz w:val="14"/>
            <w:szCs w:val="16"/>
          </w:rPr>
          <w:fldChar w:fldCharType="begin"/>
        </w:r>
        <w:r w:rsidR="00D92197" w:rsidRPr="00D26632">
          <w:rPr>
            <w:rFonts w:ascii="Arial" w:hAnsi="Arial" w:cs="Arial"/>
            <w:sz w:val="14"/>
            <w:szCs w:val="16"/>
          </w:rPr>
          <w:instrText>PAGE   \* MERGEFORMAT</w:instrText>
        </w:r>
        <w:r w:rsidR="00D92197" w:rsidRPr="00D26632">
          <w:rPr>
            <w:rFonts w:ascii="Arial" w:hAnsi="Arial" w:cs="Arial"/>
            <w:sz w:val="14"/>
            <w:szCs w:val="16"/>
          </w:rPr>
          <w:fldChar w:fldCharType="separate"/>
        </w:r>
        <w:r w:rsidR="00266B86" w:rsidRPr="00266B86">
          <w:rPr>
            <w:rFonts w:ascii="Arial" w:hAnsi="Arial" w:cs="Arial"/>
            <w:noProof/>
            <w:sz w:val="14"/>
            <w:szCs w:val="16"/>
            <w:lang w:val="es-ES"/>
          </w:rPr>
          <w:t>1</w:t>
        </w:r>
        <w:r w:rsidR="00D92197" w:rsidRPr="00D26632">
          <w:rPr>
            <w:rFonts w:ascii="Arial" w:hAnsi="Arial" w:cs="Arial"/>
            <w:sz w:val="14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53C5D" w14:textId="77777777" w:rsidR="00142A85" w:rsidRDefault="00142A85" w:rsidP="0041281F">
      <w:pPr>
        <w:spacing w:after="0" w:line="240" w:lineRule="auto"/>
      </w:pPr>
      <w:r>
        <w:separator/>
      </w:r>
    </w:p>
  </w:footnote>
  <w:footnote w:type="continuationSeparator" w:id="0">
    <w:p w14:paraId="33EA94CD" w14:textId="77777777" w:rsidR="00142A85" w:rsidRDefault="00142A85" w:rsidP="0041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AB866" w14:textId="6FC22706" w:rsidR="00FB5407" w:rsidRDefault="00142A85">
    <w:pPr>
      <w:pStyle w:val="Encabezado"/>
    </w:pPr>
    <w:r>
      <w:rPr>
        <w:noProof/>
      </w:rPr>
      <w:pict w14:anchorId="6B8531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310454" o:spid="_x0000_s2050" type="#_x0000_t136" style="position:absolute;margin-left:0;margin-top:0;width:436.1pt;height:186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B200A" w14:textId="241DDF29" w:rsidR="0041281F" w:rsidRDefault="00142A85" w:rsidP="0041281F">
    <w:pPr>
      <w:pStyle w:val="Encabezado"/>
      <w:tabs>
        <w:tab w:val="clear" w:pos="8838"/>
      </w:tabs>
    </w:pPr>
    <w:r>
      <w:rPr>
        <w:noProof/>
      </w:rPr>
      <w:pict w14:anchorId="5E9C0F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310455" o:spid="_x0000_s2051" type="#_x0000_t136" style="position:absolute;margin-left:0;margin-top:0;width:436.1pt;height:186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  <w:r w:rsidR="0041281F">
      <w:tab/>
    </w:r>
  </w:p>
  <w:tbl>
    <w:tblPr>
      <w:tblW w:w="5666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01"/>
      <w:gridCol w:w="4870"/>
      <w:gridCol w:w="2733"/>
    </w:tblGrid>
    <w:tr w:rsidR="00E90549" w:rsidRPr="00CC28E9" w14:paraId="000B811A" w14:textId="77777777" w:rsidTr="005C4372">
      <w:trPr>
        <w:trHeight w:val="410"/>
      </w:trPr>
      <w:tc>
        <w:tcPr>
          <w:tcW w:w="1200" w:type="pct"/>
          <w:vMerge w:val="restart"/>
        </w:tcPr>
        <w:p w14:paraId="6F0E70FD" w14:textId="77777777" w:rsidR="00E90549" w:rsidRPr="00CC28E9" w:rsidRDefault="00E90549" w:rsidP="00E90549">
          <w:pPr>
            <w:tabs>
              <w:tab w:val="center" w:pos="4252"/>
              <w:tab w:val="right" w:pos="8504"/>
            </w:tabs>
            <w:rPr>
              <w:rFonts w:ascii="Cambria" w:eastAsia="Cambria" w:hAnsi="Cambria" w:cs="Times New Roman"/>
              <w:sz w:val="24"/>
              <w:szCs w:val="24"/>
              <w:lang w:val="es-ES" w:eastAsia="es-ES"/>
            </w:rPr>
          </w:pPr>
          <w:r w:rsidRPr="00CC28E9">
            <w:rPr>
              <w:rFonts w:ascii="Cambria" w:eastAsia="Cambria" w:hAnsi="Cambria" w:cs="Times New Roman"/>
              <w:noProof/>
              <w:sz w:val="24"/>
              <w:szCs w:val="24"/>
              <w:lang w:val="en-US"/>
            </w:rPr>
            <w:drawing>
              <wp:anchor distT="0" distB="0" distL="114300" distR="114300" simplePos="0" relativeHeight="251665408" behindDoc="1" locked="0" layoutInCell="1" allowOverlap="1" wp14:anchorId="39248F6F" wp14:editId="4A9F6738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4" w:type="pct"/>
          <w:vMerge w:val="restart"/>
          <w:vAlign w:val="center"/>
        </w:tcPr>
        <w:p w14:paraId="611FEB5D" w14:textId="77777777" w:rsidR="00E90549" w:rsidRPr="00AA1F4E" w:rsidRDefault="00E90549" w:rsidP="00E90549">
          <w:pPr>
            <w:spacing w:before="12"/>
            <w:ind w:left="20"/>
            <w:jc w:val="center"/>
            <w:rPr>
              <w:rFonts w:ascii="Arial"/>
              <w:b/>
              <w:sz w:val="20"/>
              <w:szCs w:val="20"/>
            </w:rPr>
          </w:pPr>
          <w:r w:rsidRPr="00AA1F4E">
            <w:rPr>
              <w:rFonts w:ascii="Arial"/>
              <w:b/>
              <w:sz w:val="20"/>
              <w:szCs w:val="20"/>
            </w:rPr>
            <w:t>ESTUDIOS</w:t>
          </w:r>
          <w:r w:rsidRPr="00AA1F4E">
            <w:rPr>
              <w:rFonts w:ascii="Arial"/>
              <w:b/>
              <w:spacing w:val="-6"/>
              <w:sz w:val="20"/>
              <w:szCs w:val="20"/>
            </w:rPr>
            <w:t xml:space="preserve"> </w:t>
          </w:r>
          <w:r w:rsidRPr="00AA1F4E">
            <w:rPr>
              <w:rFonts w:ascii="Arial"/>
              <w:b/>
              <w:sz w:val="20"/>
              <w:szCs w:val="20"/>
            </w:rPr>
            <w:t>Y</w:t>
          </w:r>
          <w:r w:rsidRPr="00AA1F4E">
            <w:rPr>
              <w:rFonts w:ascii="Arial"/>
              <w:b/>
              <w:spacing w:val="-7"/>
              <w:sz w:val="20"/>
              <w:szCs w:val="20"/>
            </w:rPr>
            <w:t xml:space="preserve"> </w:t>
          </w:r>
          <w:r w:rsidRPr="00AA1F4E">
            <w:rPr>
              <w:rFonts w:ascii="Arial"/>
              <w:b/>
              <w:sz w:val="20"/>
              <w:szCs w:val="20"/>
            </w:rPr>
            <w:t>DOCUMENTOS</w:t>
          </w:r>
          <w:r w:rsidRPr="00AA1F4E">
            <w:rPr>
              <w:rFonts w:ascii="Arial"/>
              <w:b/>
              <w:spacing w:val="-7"/>
              <w:sz w:val="20"/>
              <w:szCs w:val="20"/>
            </w:rPr>
            <w:t xml:space="preserve"> </w:t>
          </w:r>
          <w:r w:rsidRPr="00AA1F4E">
            <w:rPr>
              <w:rFonts w:ascii="Arial"/>
              <w:b/>
              <w:spacing w:val="-2"/>
              <w:sz w:val="20"/>
              <w:szCs w:val="20"/>
            </w:rPr>
            <w:t>PREVIOS</w:t>
          </w:r>
        </w:p>
        <w:p w14:paraId="18119F49" w14:textId="20952EEC" w:rsidR="00E90549" w:rsidRPr="00C352EC" w:rsidRDefault="00E90549" w:rsidP="00E90549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lang w:val="es-ES" w:eastAsia="es-ES"/>
            </w:rPr>
          </w:pPr>
          <w:r>
            <w:rPr>
              <w:rFonts w:ascii="Arial" w:hAnsi="Arial"/>
              <w:b/>
              <w:sz w:val="20"/>
              <w:szCs w:val="20"/>
            </w:rPr>
            <w:t>Convenio o Contrato I</w:t>
          </w:r>
          <w:r w:rsidRPr="00AA1F4E">
            <w:rPr>
              <w:rFonts w:ascii="Arial" w:hAnsi="Arial"/>
              <w:b/>
              <w:sz w:val="20"/>
              <w:szCs w:val="20"/>
            </w:rPr>
            <w:t>nteradministrativo</w:t>
          </w:r>
          <w:r>
            <w:rPr>
              <w:rFonts w:ascii="Arial" w:hAnsi="Arial"/>
              <w:b/>
              <w:sz w:val="20"/>
              <w:szCs w:val="20"/>
            </w:rPr>
            <w:t xml:space="preserve"> </w:t>
          </w:r>
          <w:r w:rsidRPr="00AA1F4E">
            <w:rPr>
              <w:rFonts w:ascii="Arial" w:hAnsi="Arial"/>
              <w:b/>
              <w:sz w:val="20"/>
              <w:szCs w:val="20"/>
            </w:rPr>
            <w:t>Contratación Directa</w:t>
          </w:r>
        </w:p>
      </w:tc>
      <w:tc>
        <w:tcPr>
          <w:tcW w:w="1366" w:type="pct"/>
          <w:vAlign w:val="center"/>
        </w:tcPr>
        <w:p w14:paraId="77187348" w14:textId="1C08E69A" w:rsidR="00E90549" w:rsidRPr="00C352EC" w:rsidRDefault="00E90549" w:rsidP="00E90549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CÓDIGO:  </w:t>
          </w:r>
          <w:r w:rsidRPr="00FB5407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F5_P3_C</w:t>
          </w:r>
        </w:p>
      </w:tc>
    </w:tr>
    <w:tr w:rsidR="00E90549" w:rsidRPr="00CC28E9" w14:paraId="350F389B" w14:textId="77777777" w:rsidTr="005C4372">
      <w:trPr>
        <w:trHeight w:val="414"/>
      </w:trPr>
      <w:tc>
        <w:tcPr>
          <w:tcW w:w="1200" w:type="pct"/>
          <w:vMerge/>
        </w:tcPr>
        <w:p w14:paraId="5464844E" w14:textId="77777777" w:rsidR="00E90549" w:rsidRPr="00CC28E9" w:rsidRDefault="00E90549" w:rsidP="00E90549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2F349794" w14:textId="77777777" w:rsidR="00E90549" w:rsidRPr="00935E32" w:rsidRDefault="00E90549" w:rsidP="00E90549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lang w:val="es-ES" w:eastAsia="es-ES"/>
            </w:rPr>
          </w:pPr>
        </w:p>
      </w:tc>
      <w:tc>
        <w:tcPr>
          <w:tcW w:w="1366" w:type="pct"/>
          <w:vAlign w:val="center"/>
        </w:tcPr>
        <w:p w14:paraId="0FA7D7D1" w14:textId="57B45705" w:rsidR="00E90549" w:rsidRPr="00C352EC" w:rsidRDefault="00E90549" w:rsidP="00E90549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VERSIÓN: </w:t>
          </w:r>
          <w:r w:rsidRPr="00FB5407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1</w:t>
          </w:r>
        </w:p>
      </w:tc>
    </w:tr>
    <w:tr w:rsidR="00E90549" w:rsidRPr="00CC28E9" w14:paraId="4D06F00C" w14:textId="77777777" w:rsidTr="005C4372">
      <w:trPr>
        <w:trHeight w:val="418"/>
      </w:trPr>
      <w:tc>
        <w:tcPr>
          <w:tcW w:w="1200" w:type="pct"/>
          <w:vMerge/>
        </w:tcPr>
        <w:p w14:paraId="23FB5752" w14:textId="77777777" w:rsidR="00E90549" w:rsidRPr="00CC28E9" w:rsidRDefault="00E90549" w:rsidP="00E90549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 w:val="restart"/>
          <w:vAlign w:val="center"/>
        </w:tcPr>
        <w:p w14:paraId="7C51A36D" w14:textId="77777777" w:rsidR="00E90549" w:rsidRPr="00C352EC" w:rsidRDefault="00E90549" w:rsidP="00E90549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Proceso de Gestión Contractual</w:t>
          </w:r>
        </w:p>
      </w:tc>
      <w:tc>
        <w:tcPr>
          <w:tcW w:w="1366" w:type="pct"/>
          <w:vAlign w:val="center"/>
        </w:tcPr>
        <w:p w14:paraId="62F7871B" w14:textId="4326BC36" w:rsidR="00E90549" w:rsidRPr="00C352EC" w:rsidRDefault="00E90549" w:rsidP="00E90549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FECHA:  </w:t>
          </w:r>
          <w:r w:rsidRPr="00FB5407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</w:rPr>
            <w:t>31/03/2025</w:t>
          </w:r>
        </w:p>
      </w:tc>
    </w:tr>
    <w:tr w:rsidR="00E90549" w:rsidRPr="00CC28E9" w14:paraId="108AD546" w14:textId="77777777" w:rsidTr="005C4372">
      <w:trPr>
        <w:trHeight w:val="414"/>
      </w:trPr>
      <w:tc>
        <w:tcPr>
          <w:tcW w:w="1200" w:type="pct"/>
          <w:vMerge/>
        </w:tcPr>
        <w:p w14:paraId="1E33E303" w14:textId="77777777" w:rsidR="00E90549" w:rsidRPr="00CC28E9" w:rsidRDefault="00E90549" w:rsidP="00E90549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4798BE16" w14:textId="77777777" w:rsidR="00E90549" w:rsidRPr="00CC28E9" w:rsidRDefault="00E90549" w:rsidP="00E90549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1366" w:type="pct"/>
          <w:vAlign w:val="center"/>
        </w:tcPr>
        <w:p w14:paraId="49C11D38" w14:textId="592BC15D" w:rsidR="00E90549" w:rsidRPr="00C352EC" w:rsidRDefault="00E90549" w:rsidP="00E90549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</w:pP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PAGE  \* Arabic  \* MERGEFORMAT </w:instrText>
          </w: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266B86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</w:t>
          </w: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</w:t>
          </w: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NUMPAGES  \* Arabic  \* MERGEFORMAT </w:instrText>
          </w: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266B86"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10</w:t>
          </w:r>
          <w:r w:rsidRPr="00C352EC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39B5E022" w14:textId="0E647362" w:rsidR="0041281F" w:rsidRDefault="0041281F" w:rsidP="0041281F">
    <w:pPr>
      <w:pStyle w:val="Encabezado"/>
      <w:tabs>
        <w:tab w:val="clear" w:pos="8838"/>
      </w:tabs>
    </w:pPr>
  </w:p>
  <w:p w14:paraId="1BA057B2" w14:textId="77777777" w:rsidR="0041281F" w:rsidRDefault="0041281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9099" w14:textId="5298CF48" w:rsidR="00FB5407" w:rsidRDefault="00142A85">
    <w:pPr>
      <w:pStyle w:val="Encabezado"/>
    </w:pPr>
    <w:r>
      <w:rPr>
        <w:noProof/>
      </w:rPr>
      <w:pict w14:anchorId="06C870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0310453" o:spid="_x0000_s2049" type="#_x0000_t136" style="position:absolute;margin-left:0;margin-top:0;width:436.1pt;height:186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ÚBL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82026"/>
    <w:multiLevelType w:val="hybridMultilevel"/>
    <w:tmpl w:val="E828CD5A"/>
    <w:lvl w:ilvl="0" w:tplc="59CAF36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E21C9"/>
    <w:multiLevelType w:val="hybridMultilevel"/>
    <w:tmpl w:val="D4F09D5A"/>
    <w:lvl w:ilvl="0" w:tplc="FCB41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087C13"/>
    <w:multiLevelType w:val="hybridMultilevel"/>
    <w:tmpl w:val="6DD03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07070"/>
    <w:multiLevelType w:val="multilevel"/>
    <w:tmpl w:val="3698F6C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7E"/>
    <w:rsid w:val="0005331B"/>
    <w:rsid w:val="000A0363"/>
    <w:rsid w:val="0010362A"/>
    <w:rsid w:val="00130B86"/>
    <w:rsid w:val="00142A85"/>
    <w:rsid w:val="00152F9A"/>
    <w:rsid w:val="00160F80"/>
    <w:rsid w:val="001F4023"/>
    <w:rsid w:val="00266B86"/>
    <w:rsid w:val="002B157F"/>
    <w:rsid w:val="003E4C61"/>
    <w:rsid w:val="0041281F"/>
    <w:rsid w:val="004A1DE0"/>
    <w:rsid w:val="004F329C"/>
    <w:rsid w:val="004F4553"/>
    <w:rsid w:val="00524336"/>
    <w:rsid w:val="0056587E"/>
    <w:rsid w:val="00585CF8"/>
    <w:rsid w:val="006529F2"/>
    <w:rsid w:val="006671EB"/>
    <w:rsid w:val="006A298F"/>
    <w:rsid w:val="00787B52"/>
    <w:rsid w:val="00851C7A"/>
    <w:rsid w:val="008F084F"/>
    <w:rsid w:val="008F2085"/>
    <w:rsid w:val="00902C41"/>
    <w:rsid w:val="00957AE3"/>
    <w:rsid w:val="009F1B88"/>
    <w:rsid w:val="00AA1F4E"/>
    <w:rsid w:val="00AF1CC5"/>
    <w:rsid w:val="00B035C1"/>
    <w:rsid w:val="00B4193E"/>
    <w:rsid w:val="00BD0C43"/>
    <w:rsid w:val="00C21534"/>
    <w:rsid w:val="00C46A6C"/>
    <w:rsid w:val="00CC669C"/>
    <w:rsid w:val="00D01B74"/>
    <w:rsid w:val="00D74978"/>
    <w:rsid w:val="00D92197"/>
    <w:rsid w:val="00E21FC9"/>
    <w:rsid w:val="00E313D1"/>
    <w:rsid w:val="00E40DBB"/>
    <w:rsid w:val="00E4380A"/>
    <w:rsid w:val="00E564F3"/>
    <w:rsid w:val="00E71DD2"/>
    <w:rsid w:val="00E90549"/>
    <w:rsid w:val="00F85FB4"/>
    <w:rsid w:val="00FB5407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667B25"/>
  <w15:chartTrackingRefBased/>
  <w15:docId w15:val="{4FB634AA-6A58-4349-B09D-FC505438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5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5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5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5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5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5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5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5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5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5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5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587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587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587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587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587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587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5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5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5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587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587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587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5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587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587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12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281F"/>
  </w:style>
  <w:style w:type="paragraph" w:styleId="Piedepgina">
    <w:name w:val="footer"/>
    <w:basedOn w:val="Normal"/>
    <w:link w:val="PiedepginaCar"/>
    <w:uiPriority w:val="99"/>
    <w:unhideWhenUsed/>
    <w:rsid w:val="00412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81F"/>
  </w:style>
  <w:style w:type="table" w:styleId="Tablaconcuadrcula">
    <w:name w:val="Table Grid"/>
    <w:basedOn w:val="Tablanormal"/>
    <w:uiPriority w:val="39"/>
    <w:rsid w:val="008F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2923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Lorena Sanchez Calderón</dc:creator>
  <cp:keywords/>
  <dc:description/>
  <cp:lastModifiedBy>Arleth Fonseca</cp:lastModifiedBy>
  <cp:revision>2</cp:revision>
  <dcterms:created xsi:type="dcterms:W3CDTF">2025-04-01T16:47:00Z</dcterms:created>
  <dcterms:modified xsi:type="dcterms:W3CDTF">2025-04-01T16:47:00Z</dcterms:modified>
</cp:coreProperties>
</file>